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BC6A9" w14:textId="287316D3" w:rsidR="0001045F" w:rsidRPr="00D60A8B" w:rsidRDefault="006E2BC9" w:rsidP="0001045F">
      <w:pPr>
        <w:pStyle w:val="3GPPHeader"/>
        <w:spacing w:after="0"/>
        <w:rPr>
          <w:rFonts w:ascii="Arial" w:hAnsi="Arial" w:cs="Arial"/>
          <w:sz w:val="22"/>
          <w:lang w:val="en-US"/>
        </w:rPr>
      </w:pPr>
      <w:r>
        <w:rPr>
          <w:rFonts w:ascii="Arial" w:hAnsi="Arial" w:cs="Arial"/>
          <w:sz w:val="22"/>
          <w:lang w:val="en-US"/>
        </w:rPr>
        <w:t>3GPP TSG RAN WG2 #114</w:t>
      </w:r>
      <w:r w:rsidR="0001045F">
        <w:rPr>
          <w:rFonts w:ascii="Arial" w:hAnsi="Arial" w:cs="Arial"/>
          <w:sz w:val="22"/>
          <w:lang w:val="en-US"/>
        </w:rPr>
        <w:tab/>
        <w:t xml:space="preserve"> </w:t>
      </w:r>
      <w:r w:rsidR="005A7BB0">
        <w:rPr>
          <w:rFonts w:ascii="Arial" w:hAnsi="Arial" w:cs="Arial"/>
          <w:sz w:val="22"/>
          <w:lang w:val="en-US"/>
        </w:rPr>
        <w:t>R2-21</w:t>
      </w:r>
      <w:r w:rsidR="005009CD">
        <w:rPr>
          <w:rFonts w:ascii="Arial" w:hAnsi="Arial" w:cs="Arial"/>
          <w:sz w:val="22"/>
          <w:lang w:val="en-US"/>
        </w:rPr>
        <w:t>05893</w:t>
      </w:r>
    </w:p>
    <w:p w14:paraId="5210F46C" w14:textId="3E864A7B" w:rsidR="0001045F" w:rsidRDefault="008D0073" w:rsidP="0001045F">
      <w:pPr>
        <w:pStyle w:val="3GPPHeader"/>
        <w:spacing w:after="0"/>
        <w:rPr>
          <w:rFonts w:ascii="Arial" w:hAnsi="Arial" w:cs="Arial"/>
          <w:sz w:val="22"/>
          <w:lang w:val="en-US"/>
        </w:rPr>
      </w:pPr>
      <w:r>
        <w:rPr>
          <w:rFonts w:ascii="Arial" w:hAnsi="Arial" w:cs="Arial"/>
          <w:sz w:val="22"/>
          <w:lang w:val="en-US"/>
        </w:rPr>
        <w:t>Electronic meeting</w:t>
      </w:r>
      <w:r w:rsidR="0001045F" w:rsidRPr="00395015">
        <w:rPr>
          <w:rFonts w:ascii="Arial" w:hAnsi="Arial" w:cs="Arial"/>
          <w:sz w:val="22"/>
          <w:lang w:val="en-US"/>
        </w:rPr>
        <w:t xml:space="preserve">, </w:t>
      </w:r>
      <w:r w:rsidR="006E2BC9">
        <w:rPr>
          <w:rFonts w:ascii="Arial" w:hAnsi="Arial" w:cs="Arial"/>
          <w:sz w:val="22"/>
          <w:lang w:val="en-US"/>
        </w:rPr>
        <w:t>19</w:t>
      </w:r>
      <w:r w:rsidR="001D4711">
        <w:rPr>
          <w:rFonts w:ascii="Arial" w:hAnsi="Arial" w:cs="Arial"/>
          <w:sz w:val="22"/>
          <w:lang w:val="en-US"/>
        </w:rPr>
        <w:t xml:space="preserve"> – </w:t>
      </w:r>
      <w:r w:rsidR="006E2BC9">
        <w:rPr>
          <w:rFonts w:ascii="Arial" w:hAnsi="Arial" w:cs="Arial"/>
          <w:sz w:val="22"/>
          <w:lang w:val="en-US"/>
        </w:rPr>
        <w:t>27</w:t>
      </w:r>
      <w:r w:rsidR="00D407D8">
        <w:rPr>
          <w:rFonts w:ascii="Arial" w:hAnsi="Arial" w:cs="Arial"/>
          <w:sz w:val="22"/>
          <w:lang w:val="en-US"/>
        </w:rPr>
        <w:t xml:space="preserve"> </w:t>
      </w:r>
      <w:r w:rsidR="006E2BC9">
        <w:rPr>
          <w:rFonts w:ascii="Arial" w:hAnsi="Arial" w:cs="Arial"/>
          <w:sz w:val="22"/>
          <w:lang w:val="en-US"/>
        </w:rPr>
        <w:t>May</w:t>
      </w:r>
      <w:r>
        <w:rPr>
          <w:rFonts w:ascii="Arial" w:hAnsi="Arial" w:cs="Arial"/>
          <w:sz w:val="22"/>
          <w:lang w:val="en-US"/>
        </w:rPr>
        <w:t xml:space="preserve"> 2021</w:t>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58DAB694"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26364A">
        <w:rPr>
          <w:rFonts w:ascii="Arial" w:hAnsi="Arial" w:cs="Arial"/>
          <w:b w:val="0"/>
          <w:sz w:val="22"/>
          <w:lang w:val="en-US"/>
        </w:rPr>
        <w:t>8.14</w:t>
      </w:r>
      <w:r w:rsidR="000627CD">
        <w:rPr>
          <w:rFonts w:ascii="Arial" w:hAnsi="Arial" w:cs="Arial"/>
          <w:b w:val="0"/>
          <w:sz w:val="22"/>
          <w:lang w:val="en-US"/>
        </w:rPr>
        <w:t>.2.1</w:t>
      </w:r>
      <w:r w:rsidR="0026364A">
        <w:rPr>
          <w:rFonts w:ascii="Arial" w:hAnsi="Arial" w:cs="Arial"/>
          <w:b w:val="0"/>
          <w:sz w:val="22"/>
          <w:lang w:val="en-US"/>
        </w:rPr>
        <w:t xml:space="preserve"> </w:t>
      </w:r>
      <w:r w:rsidR="000627CD" w:rsidRPr="000627CD">
        <w:rPr>
          <w:rFonts w:ascii="Arial" w:hAnsi="Arial" w:cs="Arial"/>
          <w:b w:val="0"/>
          <w:sz w:val="22"/>
          <w:lang w:val="en-US"/>
        </w:rPr>
        <w:t>Configuration architecture general aspects</w:t>
      </w:r>
    </w:p>
    <w:p w14:paraId="63D35AD0"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3E4FC56A" w14:textId="7777777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6364A">
        <w:rPr>
          <w:rFonts w:ascii="Arial" w:hAnsi="Arial" w:cs="Arial"/>
          <w:b w:val="0"/>
          <w:sz w:val="22"/>
          <w:lang w:val="en-US"/>
        </w:rPr>
        <w:t>Configuration and reporting</w:t>
      </w:r>
      <w:r w:rsidR="00934F7F">
        <w:rPr>
          <w:rFonts w:ascii="Arial" w:hAnsi="Arial" w:cs="Arial"/>
          <w:b w:val="0"/>
          <w:sz w:val="22"/>
          <w:lang w:val="en-US"/>
        </w:rPr>
        <w:t xml:space="preserve"> for QoE M</w:t>
      </w:r>
      <w:r w:rsidR="00AF09E8">
        <w:rPr>
          <w:rFonts w:ascii="Arial" w:hAnsi="Arial" w:cs="Arial"/>
          <w:b w:val="0"/>
          <w:sz w:val="22"/>
          <w:lang w:val="en-US"/>
        </w:rPr>
        <w:t>anagement</w:t>
      </w:r>
    </w:p>
    <w:p w14:paraId="155543E9"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DF7987">
        <w:rPr>
          <w:rFonts w:ascii="Arial" w:hAnsi="Arial" w:cs="Arial"/>
          <w:b w:val="0"/>
          <w:bCs/>
          <w:sz w:val="22"/>
          <w:lang w:val="de-DE"/>
        </w:rPr>
        <w:t>Discussion</w:t>
      </w:r>
      <w:r w:rsidR="00C06D25">
        <w:rPr>
          <w:rFonts w:ascii="Arial" w:hAnsi="Arial" w:cs="Arial"/>
          <w:b w:val="0"/>
          <w:bCs/>
          <w:sz w:val="22"/>
          <w:lang w:val="de-DE"/>
        </w:rPr>
        <w:t xml:space="preserve"> and decision</w:t>
      </w:r>
    </w:p>
    <w:p w14:paraId="031AF14E" w14:textId="77777777" w:rsidR="00120D47" w:rsidRDefault="00D15D57" w:rsidP="00120D47">
      <w:pPr>
        <w:pStyle w:val="Heading1"/>
      </w:pPr>
      <w:r>
        <w:t>Introduction</w:t>
      </w:r>
    </w:p>
    <w:p w14:paraId="3F2BA39D" w14:textId="067F3321" w:rsidR="00D2042B" w:rsidRDefault="00DA4FF3" w:rsidP="000972AC">
      <w:pPr>
        <w:pStyle w:val="BodyText"/>
        <w:rPr>
          <w:lang w:val="en-GB" w:eastAsia="zh-CN"/>
        </w:rPr>
      </w:pPr>
      <w:bookmarkStart w:id="0" w:name="_Toc242573354"/>
      <w:r>
        <w:t xml:space="preserve">In </w:t>
      </w:r>
      <w:r w:rsidR="00D1713B">
        <w:t>Release 1</w:t>
      </w:r>
      <w:r w:rsidR="00204FA6">
        <w:t>7</w:t>
      </w:r>
      <w:r w:rsidR="0041098F">
        <w:t xml:space="preserve"> </w:t>
      </w:r>
      <w:r w:rsidR="00204FA6">
        <w:t>a</w:t>
      </w:r>
      <w:r w:rsidR="00574410">
        <w:t xml:space="preserve"> </w:t>
      </w:r>
      <w:r w:rsidR="0026364A">
        <w:t>work</w:t>
      </w:r>
      <w:r w:rsidR="00DF7987">
        <w:t xml:space="preserve"> item </w:t>
      </w:r>
      <w:r w:rsidR="00204FA6">
        <w:t xml:space="preserve">for NR </w:t>
      </w:r>
      <w:r w:rsidR="00DF7987">
        <w:t xml:space="preserve">QoE </w:t>
      </w:r>
      <w:r w:rsidR="00204FA6">
        <w:t>Management has been agreed</w:t>
      </w:r>
      <w:r w:rsidR="00D93B6C">
        <w:t xml:space="preserve"> [1]</w:t>
      </w:r>
      <w:r w:rsidR="00D51A91">
        <w:t xml:space="preserve">. </w:t>
      </w:r>
      <w:r w:rsidR="00D2042B">
        <w:rPr>
          <w:lang w:val="en-GB" w:eastAsia="zh-CN"/>
        </w:rPr>
        <w:t xml:space="preserve">Configuration of QoE measurements was discussed in RAN2#113bis </w:t>
      </w:r>
      <w:r w:rsidR="000972AC">
        <w:rPr>
          <w:lang w:val="en-GB" w:eastAsia="zh-CN"/>
        </w:rPr>
        <w:t>the following agreements were made:</w:t>
      </w:r>
    </w:p>
    <w:p w14:paraId="69A27E6C" w14:textId="77777777" w:rsidR="000972AC" w:rsidRDefault="000972AC" w:rsidP="000972AC">
      <w:pPr>
        <w:pStyle w:val="Agreement"/>
        <w:rPr>
          <w:lang w:eastAsia="zh-CN"/>
        </w:rPr>
      </w:pPr>
      <w:r>
        <w:rPr>
          <w:lang w:eastAsia="zh-CN"/>
        </w:rPr>
        <w:t xml:space="preserve">Configure QoE measurements for NR in </w:t>
      </w:r>
      <w:r w:rsidRPr="00FE3F6C">
        <w:rPr>
          <w:i/>
          <w:lang w:eastAsia="zh-CN"/>
        </w:rPr>
        <w:t>RRCReconfiguration</w:t>
      </w:r>
      <w:r w:rsidRPr="00FE3F6C">
        <w:rPr>
          <w:lang w:eastAsia="zh-CN"/>
        </w:rPr>
        <w:t>.</w:t>
      </w:r>
    </w:p>
    <w:p w14:paraId="19D8E195" w14:textId="77777777" w:rsidR="000972AC" w:rsidRDefault="000972AC" w:rsidP="000972AC">
      <w:pPr>
        <w:pStyle w:val="Agreement"/>
        <w:rPr>
          <w:lang w:eastAsia="zh-CN"/>
        </w:rPr>
      </w:pPr>
      <w:r>
        <w:rPr>
          <w:lang w:eastAsia="zh-CN"/>
        </w:rPr>
        <w:t>A</w:t>
      </w:r>
      <w:r w:rsidRPr="000A1986">
        <w:rPr>
          <w:lang w:eastAsia="zh-CN"/>
        </w:rPr>
        <w:t xml:space="preserve">dd configuration of QoE measurements in </w:t>
      </w:r>
      <w:r w:rsidRPr="000A1986">
        <w:rPr>
          <w:i/>
          <w:lang w:eastAsia="zh-CN"/>
        </w:rPr>
        <w:t>OtherConfig</w:t>
      </w:r>
      <w:r w:rsidRPr="000A1986">
        <w:rPr>
          <w:lang w:eastAsia="zh-CN"/>
        </w:rPr>
        <w:t xml:space="preserve"> in </w:t>
      </w:r>
      <w:r w:rsidRPr="00FE3F6C">
        <w:rPr>
          <w:i/>
          <w:lang w:eastAsia="zh-CN"/>
        </w:rPr>
        <w:t>RRCReconfiguration</w:t>
      </w:r>
      <w:r w:rsidRPr="00FE3F6C">
        <w:rPr>
          <w:lang w:eastAsia="zh-CN"/>
        </w:rPr>
        <w:t>.</w:t>
      </w:r>
    </w:p>
    <w:p w14:paraId="3052DDA2" w14:textId="77777777" w:rsidR="000972AC" w:rsidRDefault="000972AC" w:rsidP="000972AC">
      <w:pPr>
        <w:pStyle w:val="Agreement"/>
        <w:rPr>
          <w:lang w:eastAsia="zh-CN"/>
        </w:rPr>
      </w:pPr>
      <w:r w:rsidRPr="008538A4">
        <w:rPr>
          <w:lang w:eastAsia="zh-CN"/>
        </w:rPr>
        <w:t>Add the configuration of</w:t>
      </w:r>
      <w:r>
        <w:rPr>
          <w:lang w:eastAsia="zh-CN"/>
        </w:rPr>
        <w:t xml:space="preserve"> QoE measurements by means of </w:t>
      </w:r>
      <w:r w:rsidRPr="008538A4">
        <w:rPr>
          <w:lang w:eastAsia="zh-CN"/>
        </w:rPr>
        <w:t xml:space="preserve">list to </w:t>
      </w:r>
      <w:r>
        <w:rPr>
          <w:lang w:eastAsia="zh-CN"/>
        </w:rPr>
        <w:t>enable</w:t>
      </w:r>
      <w:r w:rsidRPr="008538A4">
        <w:rPr>
          <w:lang w:eastAsia="zh-CN"/>
        </w:rPr>
        <w:t xml:space="preserve"> configuration of multiple simultaneous measurements.</w:t>
      </w:r>
    </w:p>
    <w:p w14:paraId="760D54C8" w14:textId="77777777" w:rsidR="000972AC" w:rsidRPr="00C8364D" w:rsidRDefault="000972AC" w:rsidP="000972AC">
      <w:pPr>
        <w:pStyle w:val="Agreement"/>
        <w:rPr>
          <w:lang w:eastAsia="zh-CN"/>
        </w:rPr>
      </w:pPr>
      <w:r>
        <w:rPr>
          <w:lang w:eastAsia="zh-CN"/>
        </w:rPr>
        <w:t xml:space="preserve">R2 assumes that for RRC an ID is required to identify a measurement, FFS whether this is the QoE reference ID or something else. </w:t>
      </w:r>
    </w:p>
    <w:p w14:paraId="787A810D" w14:textId="77777777" w:rsidR="000972AC" w:rsidRDefault="000972AC" w:rsidP="000972AC">
      <w:pPr>
        <w:pStyle w:val="Agreement"/>
        <w:rPr>
          <w:lang w:eastAsia="zh-CN"/>
        </w:rPr>
      </w:pPr>
      <w:r>
        <w:rPr>
          <w:lang w:eastAsia="zh-CN"/>
        </w:rPr>
        <w:t>Define</w:t>
      </w:r>
      <w:r w:rsidRPr="00AC0565">
        <w:rPr>
          <w:lang w:eastAsia="zh-CN"/>
        </w:rPr>
        <w:t xml:space="preserve"> SRB4 for transmission of QoE reports in NR.</w:t>
      </w:r>
    </w:p>
    <w:p w14:paraId="0EB5CE6E" w14:textId="77777777" w:rsidR="000972AC" w:rsidRDefault="000972AC" w:rsidP="000972AC">
      <w:pPr>
        <w:pStyle w:val="Agreement"/>
      </w:pPr>
      <w:r w:rsidRPr="00CA3FB1">
        <w:rPr>
          <w:lang w:eastAsia="zh-CN"/>
        </w:rPr>
        <w:t xml:space="preserve">Define an RRC message </w:t>
      </w:r>
      <w:r w:rsidRPr="00CA3FB1">
        <w:rPr>
          <w:i/>
          <w:lang w:eastAsia="zh-CN"/>
        </w:rPr>
        <w:t>MeasReportAppLayer</w:t>
      </w:r>
      <w:r w:rsidRPr="00CA3FB1">
        <w:rPr>
          <w:lang w:eastAsia="zh-CN"/>
        </w:rPr>
        <w:t xml:space="preserve"> for the transmission of QoE reports</w:t>
      </w:r>
      <w:r>
        <w:rPr>
          <w:lang w:eastAsia="zh-CN"/>
        </w:rPr>
        <w:t xml:space="preserve"> in NR</w:t>
      </w:r>
      <w:r w:rsidRPr="00CA3FB1">
        <w:rPr>
          <w:lang w:eastAsia="zh-CN"/>
        </w:rPr>
        <w:t>.</w:t>
      </w:r>
    </w:p>
    <w:p w14:paraId="744CA6BF" w14:textId="77777777" w:rsidR="000972AC" w:rsidRDefault="000972AC" w:rsidP="000972AC">
      <w:pPr>
        <w:pStyle w:val="Agreement"/>
      </w:pPr>
      <w:r>
        <w:t>RAN2 assumes that QoE support for NR includes (as the LTE framework): activation by Trace Function, both signalling and management-based configuration and RRC procedures supporting AppLayer config and report.</w:t>
      </w:r>
    </w:p>
    <w:p w14:paraId="3BA5F070" w14:textId="77777777" w:rsidR="000972AC" w:rsidRDefault="000972AC" w:rsidP="000972AC">
      <w:pPr>
        <w:pStyle w:val="Agreement"/>
      </w:pPr>
      <w:r>
        <w:t xml:space="preserve">From RAN2 point of view, the UE shall follow gNB commands and, NG-RAN can </w:t>
      </w:r>
      <w:r w:rsidRPr="00175789">
        <w:t xml:space="preserve">in principle </w:t>
      </w:r>
      <w:r>
        <w:t xml:space="preserve">release by RRC the application layer measurement configuration towards the UE at any time, e.g. if required due to load or other reasons (Note that other WGs are responsible to define the normal system procedures for release and which nodes are responsible etc). </w:t>
      </w:r>
    </w:p>
    <w:p w14:paraId="6805C6B0" w14:textId="77777777" w:rsidR="000972AC" w:rsidRDefault="000972AC" w:rsidP="000972AC">
      <w:pPr>
        <w:pStyle w:val="Agreement"/>
        <w:rPr>
          <w:lang w:eastAsia="zh-CN"/>
        </w:rPr>
      </w:pPr>
      <w:r>
        <w:t>T</w:t>
      </w:r>
      <w:r w:rsidRPr="33D1C450">
        <w:rPr>
          <w:lang w:eastAsia="zh-CN"/>
        </w:rPr>
        <w:t>he UE Inactive AS context includes the UE AS configuration for the QoE (it is not released</w:t>
      </w:r>
      <w:r>
        <w:rPr>
          <w:lang w:eastAsia="zh-CN"/>
        </w:rPr>
        <w:t xml:space="preserve"> when UE goes to Inactive</w:t>
      </w:r>
      <w:r w:rsidRPr="33D1C450">
        <w:rPr>
          <w:lang w:eastAsia="zh-CN"/>
        </w:rPr>
        <w:t>).</w:t>
      </w:r>
    </w:p>
    <w:p w14:paraId="40932FED" w14:textId="77777777" w:rsidR="000972AC" w:rsidRPr="00222C1B" w:rsidRDefault="000972AC" w:rsidP="00222C1B">
      <w:pPr>
        <w:rPr>
          <w:lang w:val="en-GB" w:eastAsia="zh-CN"/>
        </w:rPr>
      </w:pPr>
    </w:p>
    <w:p w14:paraId="215AC581" w14:textId="77777777" w:rsidR="007D4338" w:rsidRPr="00EC6095" w:rsidRDefault="009D725A" w:rsidP="00BB5F55">
      <w:pPr>
        <w:pStyle w:val="Heading1"/>
      </w:pPr>
      <w:r>
        <w:t>Discussion</w:t>
      </w:r>
      <w:bookmarkEnd w:id="0"/>
    </w:p>
    <w:p w14:paraId="3257A8A0" w14:textId="77777777" w:rsidR="009F0915" w:rsidRDefault="00D70638" w:rsidP="00060834">
      <w:pPr>
        <w:pStyle w:val="Heading2"/>
      </w:pPr>
      <w:r>
        <w:t>Configuration</w:t>
      </w:r>
      <w:r w:rsidR="0079291B">
        <w:t xml:space="preserve"> of QoE measurements</w:t>
      </w:r>
    </w:p>
    <w:p w14:paraId="67ECD5E5" w14:textId="19896DAD" w:rsidR="0079291B" w:rsidRDefault="000972AC" w:rsidP="00060834">
      <w:pPr>
        <w:rPr>
          <w:lang w:val="en-GB" w:eastAsia="zh-CN"/>
        </w:rPr>
      </w:pPr>
      <w:r>
        <w:rPr>
          <w:lang w:val="en-GB" w:eastAsia="zh-CN"/>
        </w:rPr>
        <w:t xml:space="preserve">According to the agreements made in RAN2#113bis, the signalling flow for QoE measurements will look like this (similar as in LTE): </w:t>
      </w:r>
    </w:p>
    <w:p w14:paraId="2865A975" w14:textId="79CA028D" w:rsidR="00A266F3" w:rsidRDefault="00D2042B" w:rsidP="00060834">
      <w:pPr>
        <w:rPr>
          <w:lang w:val="en-GB" w:eastAsia="zh-CN"/>
        </w:rPr>
      </w:pPr>
      <w:r>
        <w:rPr>
          <w:noProof/>
        </w:rPr>
        <w:lastRenderedPageBreak/>
        <w:drawing>
          <wp:inline distT="0" distB="0" distL="0" distR="0" wp14:anchorId="478AB6D8" wp14:editId="4677B791">
            <wp:extent cx="3781425" cy="1847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1425" cy="1847850"/>
                    </a:xfrm>
                    <a:prstGeom prst="rect">
                      <a:avLst/>
                    </a:prstGeom>
                    <a:noFill/>
                    <a:ln>
                      <a:noFill/>
                    </a:ln>
                  </pic:spPr>
                </pic:pic>
              </a:graphicData>
            </a:graphic>
          </wp:inline>
        </w:drawing>
      </w:r>
    </w:p>
    <w:p w14:paraId="0B3AE011" w14:textId="77777777" w:rsidR="000972AC" w:rsidRDefault="000972AC" w:rsidP="00060834">
      <w:pPr>
        <w:rPr>
          <w:lang w:val="en-GB" w:eastAsia="zh-CN"/>
        </w:rPr>
      </w:pPr>
    </w:p>
    <w:p w14:paraId="4F1A870A" w14:textId="0862A017" w:rsidR="007B0475" w:rsidRDefault="0091186F" w:rsidP="00060834">
      <w:pPr>
        <w:rPr>
          <w:lang w:val="en-GB" w:eastAsia="zh-CN"/>
        </w:rPr>
      </w:pPr>
      <w:r>
        <w:rPr>
          <w:lang w:val="en-GB" w:eastAsia="zh-CN"/>
        </w:rPr>
        <w:t>One part that was not concluded in RAN2#113bis was the reference linked to the measurements.</w:t>
      </w:r>
    </w:p>
    <w:p w14:paraId="133B8F22" w14:textId="77777777" w:rsidR="0091186F" w:rsidRPr="0091186F" w:rsidRDefault="0091186F" w:rsidP="0091186F">
      <w:pPr>
        <w:pStyle w:val="Agreement"/>
        <w:rPr>
          <w:highlight w:val="yellow"/>
          <w:lang w:eastAsia="zh-CN"/>
        </w:rPr>
      </w:pPr>
      <w:r>
        <w:rPr>
          <w:lang w:eastAsia="zh-CN"/>
        </w:rPr>
        <w:t xml:space="preserve">R2 assumes that for RRC an ID is required to identify a measurement, </w:t>
      </w:r>
      <w:r w:rsidRPr="0091186F">
        <w:rPr>
          <w:highlight w:val="yellow"/>
          <w:lang w:eastAsia="zh-CN"/>
        </w:rPr>
        <w:t xml:space="preserve">FFS whether this is the QoE reference ID or something else. </w:t>
      </w:r>
    </w:p>
    <w:p w14:paraId="0D51B93A" w14:textId="77777777" w:rsidR="0091186F" w:rsidRDefault="0091186F" w:rsidP="00060834">
      <w:pPr>
        <w:rPr>
          <w:lang w:val="en-GB" w:eastAsia="zh-CN"/>
        </w:rPr>
      </w:pPr>
    </w:p>
    <w:p w14:paraId="47BB5BEE" w14:textId="5E25B39E" w:rsidR="007B1E63" w:rsidRDefault="00BF30EF" w:rsidP="00060834">
      <w:pPr>
        <w:rPr>
          <w:lang w:val="en-GB" w:eastAsia="zh-CN"/>
        </w:rPr>
      </w:pPr>
      <w:r>
        <w:rPr>
          <w:lang w:val="en-GB" w:eastAsia="zh-CN"/>
        </w:rPr>
        <w:t xml:space="preserve">In the incoming LS from SA5 </w:t>
      </w:r>
      <w:r>
        <w:rPr>
          <w:lang w:val="en-GB" w:eastAsia="zh-CN"/>
        </w:rPr>
        <w:fldChar w:fldCharType="begin"/>
      </w:r>
      <w:r>
        <w:rPr>
          <w:lang w:val="en-GB" w:eastAsia="zh-CN"/>
        </w:rPr>
        <w:instrText xml:space="preserve"> REF _Ref68190789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SA5 brings up the need for a QoE Reference. From the LS:</w:t>
      </w:r>
    </w:p>
    <w:p w14:paraId="3E5F367D" w14:textId="6BDDDF20" w:rsidR="00BF30EF" w:rsidRPr="006C2F56" w:rsidRDefault="00BF30EF" w:rsidP="006C2F56">
      <w:pPr>
        <w:tabs>
          <w:tab w:val="left" w:pos="90"/>
        </w:tabs>
        <w:spacing w:after="0" w:line="240" w:lineRule="auto"/>
        <w:ind w:left="270"/>
        <w:rPr>
          <w:rFonts w:eastAsia="Times New Roman" w:cs="Arial"/>
          <w:i/>
          <w:szCs w:val="20"/>
          <w:lang w:val="en-GB"/>
        </w:rPr>
      </w:pPr>
      <w:r w:rsidRPr="006C2F56">
        <w:rPr>
          <w:rFonts w:eastAsia="Times New Roman" w:cs="Arial"/>
          <w:i/>
          <w:szCs w:val="20"/>
          <w:lang w:val="en-GB"/>
        </w:rPr>
        <w:t>“As there will be assurance and other automated functions using the QMC mechanism in 5G in Rel-17, the functionality to provide QoE Reference both inside and outside the container to enable multiple simultaneous measurements and the temporary stop/restart QMCs are needed:</w:t>
      </w:r>
    </w:p>
    <w:p w14:paraId="65BA35F2" w14:textId="77777777" w:rsidR="00BF30EF" w:rsidRPr="006C2F56" w:rsidRDefault="00BF30EF" w:rsidP="00BF30EF">
      <w:pPr>
        <w:numPr>
          <w:ilvl w:val="0"/>
          <w:numId w:val="17"/>
        </w:numPr>
        <w:spacing w:after="0" w:line="240" w:lineRule="auto"/>
        <w:rPr>
          <w:rFonts w:eastAsia="Times New Roman" w:cs="Arial"/>
          <w:i/>
          <w:szCs w:val="20"/>
          <w:lang w:val="en-GB"/>
        </w:rPr>
      </w:pPr>
      <w:r w:rsidRPr="006C2F56">
        <w:rPr>
          <w:rFonts w:eastAsia="Times New Roman" w:cs="Arial"/>
          <w:i/>
          <w:szCs w:val="20"/>
          <w:lang w:val="en-GB"/>
        </w:rPr>
        <w:t>As multiple assurance and automation functions may need to have different QoE data from the same UE, multiple simultaneous QMCs from each UE is needed.</w:t>
      </w:r>
    </w:p>
    <w:p w14:paraId="33B46B44" w14:textId="1C45BDEC" w:rsidR="00BF30EF" w:rsidRPr="006C2F56" w:rsidRDefault="00BF30EF" w:rsidP="00BF30EF">
      <w:pPr>
        <w:numPr>
          <w:ilvl w:val="0"/>
          <w:numId w:val="17"/>
        </w:numPr>
        <w:spacing w:after="0" w:line="240" w:lineRule="auto"/>
        <w:rPr>
          <w:rFonts w:eastAsia="Times New Roman" w:cs="Arial"/>
          <w:i/>
          <w:szCs w:val="20"/>
          <w:lang w:val="en-GB"/>
        </w:rPr>
      </w:pPr>
      <w:r w:rsidRPr="006C2F56">
        <w:rPr>
          <w:rFonts w:eastAsia="Times New Roman" w:cs="Arial"/>
          <w:i/>
          <w:szCs w:val="20"/>
          <w:lang w:val="en-GB"/>
        </w:rPr>
        <w:t>When multiple QMCs are ordered by different consumers, the reported data needs to be sent to different consumers. The base station needs to have a mapping of the QoE Reference and the consumer address. The base station should not need to open the report container and decode the data to find the QoE Reference.”</w:t>
      </w:r>
    </w:p>
    <w:p w14:paraId="6BBED03F" w14:textId="77777777" w:rsidR="00BF30EF" w:rsidRDefault="00BF30EF" w:rsidP="00060834">
      <w:pPr>
        <w:rPr>
          <w:lang w:val="en-GB" w:eastAsia="zh-CN"/>
        </w:rPr>
      </w:pPr>
    </w:p>
    <w:p w14:paraId="529D556C" w14:textId="77777777" w:rsidR="00B74D95" w:rsidRDefault="00BF30EF" w:rsidP="00060834">
      <w:pPr>
        <w:rPr>
          <w:lang w:val="en-GB" w:eastAsia="zh-CN"/>
        </w:rPr>
      </w:pPr>
      <w:r>
        <w:rPr>
          <w:lang w:val="en-GB" w:eastAsia="zh-CN"/>
        </w:rPr>
        <w:t xml:space="preserve">The QoE Reference will be used to link the reports to a specific configuration, so that the </w:t>
      </w:r>
      <w:r w:rsidR="00B74D95">
        <w:rPr>
          <w:lang w:val="en-GB" w:eastAsia="zh-CN"/>
        </w:rPr>
        <w:t>gNB knows where to forward</w:t>
      </w:r>
      <w:r>
        <w:rPr>
          <w:lang w:val="en-GB" w:eastAsia="zh-CN"/>
        </w:rPr>
        <w:t xml:space="preserve"> the report. </w:t>
      </w:r>
      <w:r w:rsidR="00B74D95">
        <w:rPr>
          <w:lang w:val="en-GB" w:eastAsia="zh-CN"/>
        </w:rPr>
        <w:t xml:space="preserve">The QoE reference is defined in </w:t>
      </w:r>
      <w:r w:rsidR="00B74D95">
        <w:rPr>
          <w:lang w:val="en-GB" w:eastAsia="zh-CN"/>
        </w:rPr>
        <w:fldChar w:fldCharType="begin"/>
      </w:r>
      <w:r w:rsidR="00B74D95">
        <w:rPr>
          <w:lang w:val="en-GB" w:eastAsia="zh-CN"/>
        </w:rPr>
        <w:instrText xml:space="preserve"> REF _Ref68191355 \r \h </w:instrText>
      </w:r>
      <w:r w:rsidR="00B74D95">
        <w:rPr>
          <w:lang w:val="en-GB" w:eastAsia="zh-CN"/>
        </w:rPr>
      </w:r>
      <w:r w:rsidR="00B74D95">
        <w:rPr>
          <w:lang w:val="en-GB" w:eastAsia="zh-CN"/>
        </w:rPr>
        <w:fldChar w:fldCharType="separate"/>
      </w:r>
      <w:r w:rsidR="00B74D95">
        <w:rPr>
          <w:lang w:val="en-GB" w:eastAsia="zh-CN"/>
        </w:rPr>
        <w:t>[5]</w:t>
      </w:r>
      <w:r w:rsidR="00B74D95">
        <w:rPr>
          <w:lang w:val="en-GB" w:eastAsia="zh-CN"/>
        </w:rPr>
        <w:fldChar w:fldCharType="end"/>
      </w:r>
      <w:r w:rsidR="00B74D95">
        <w:rPr>
          <w:lang w:val="en-GB" w:eastAsia="zh-CN"/>
        </w:rPr>
        <w:t>:</w:t>
      </w:r>
    </w:p>
    <w:p w14:paraId="0A939662" w14:textId="77777777" w:rsidR="00B74D95" w:rsidRPr="006C2F56" w:rsidRDefault="00B74D95" w:rsidP="006C2F56">
      <w:pPr>
        <w:keepNext/>
        <w:keepLines/>
        <w:overflowPunct w:val="0"/>
        <w:autoSpaceDE w:val="0"/>
        <w:autoSpaceDN w:val="0"/>
        <w:adjustRightInd w:val="0"/>
        <w:spacing w:before="180" w:after="180" w:line="240" w:lineRule="auto"/>
        <w:ind w:left="540"/>
        <w:textAlignment w:val="baseline"/>
        <w:outlineLvl w:val="1"/>
        <w:rPr>
          <w:rFonts w:eastAsia="Times New Roman"/>
          <w:i/>
          <w:sz w:val="32"/>
          <w:szCs w:val="20"/>
          <w:lang w:val="en-GB"/>
        </w:rPr>
      </w:pPr>
      <w:bookmarkStart w:id="1" w:name="_Toc42758786"/>
      <w:bookmarkStart w:id="2" w:name="_Toc42759193"/>
      <w:bookmarkStart w:id="3" w:name="_Toc42759817"/>
      <w:r w:rsidRPr="006C2F56">
        <w:rPr>
          <w:rFonts w:eastAsia="Times New Roman"/>
          <w:i/>
          <w:sz w:val="32"/>
          <w:szCs w:val="20"/>
          <w:lang w:val="en-GB"/>
        </w:rPr>
        <w:t>5.2</w:t>
      </w:r>
      <w:r w:rsidRPr="006C2F56">
        <w:rPr>
          <w:rFonts w:eastAsia="Times New Roman"/>
          <w:i/>
          <w:sz w:val="32"/>
          <w:szCs w:val="20"/>
          <w:lang w:val="en-GB"/>
        </w:rPr>
        <w:tab/>
        <w:t>QoE reference (M)</w:t>
      </w:r>
      <w:bookmarkEnd w:id="1"/>
      <w:bookmarkEnd w:id="2"/>
      <w:bookmarkEnd w:id="3"/>
    </w:p>
    <w:p w14:paraId="5AFCE293" w14:textId="77777777" w:rsidR="00B74D95" w:rsidRPr="006C2F56" w:rsidRDefault="00B74D95" w:rsidP="006C2F56">
      <w:pPr>
        <w:overflowPunct w:val="0"/>
        <w:autoSpaceDE w:val="0"/>
        <w:autoSpaceDN w:val="0"/>
        <w:adjustRightInd w:val="0"/>
        <w:spacing w:after="180" w:line="240" w:lineRule="auto"/>
        <w:ind w:left="540"/>
        <w:textAlignment w:val="baseline"/>
        <w:rPr>
          <w:rFonts w:ascii="Times New Roman" w:eastAsia="Times New Roman" w:hAnsi="Times New Roman"/>
          <w:i/>
          <w:szCs w:val="20"/>
          <w:lang w:val="en-GB"/>
        </w:rPr>
      </w:pPr>
      <w:r w:rsidRPr="006C2F56">
        <w:rPr>
          <w:rFonts w:ascii="Times New Roman" w:eastAsia="Times New Roman" w:hAnsi="Times New Roman"/>
          <w:i/>
          <w:szCs w:val="20"/>
          <w:lang w:val="en-GB"/>
        </w:rPr>
        <w:t>The QoE reference parameter specify the network request session. The QoE reference shall be globally unique therefore it is composed as follows:</w:t>
      </w:r>
    </w:p>
    <w:p w14:paraId="328D0B5A" w14:textId="77777777" w:rsidR="00B74D95" w:rsidRPr="006C2F56" w:rsidRDefault="00B74D95" w:rsidP="006C2F56">
      <w:pPr>
        <w:overflowPunct w:val="0"/>
        <w:autoSpaceDE w:val="0"/>
        <w:autoSpaceDN w:val="0"/>
        <w:adjustRightInd w:val="0"/>
        <w:spacing w:after="180" w:line="240" w:lineRule="auto"/>
        <w:ind w:left="540"/>
        <w:textAlignment w:val="baseline"/>
        <w:rPr>
          <w:rFonts w:ascii="Times New Roman" w:eastAsia="Times New Roman" w:hAnsi="Times New Roman"/>
          <w:i/>
          <w:szCs w:val="20"/>
          <w:lang w:val="en-GB"/>
        </w:rPr>
      </w:pPr>
      <w:r w:rsidRPr="006C2F56">
        <w:rPr>
          <w:rFonts w:ascii="Times New Roman" w:eastAsia="Times New Roman" w:hAnsi="Times New Roman"/>
          <w:i/>
          <w:szCs w:val="20"/>
          <w:lang w:val="en-GB"/>
        </w:rPr>
        <w:t xml:space="preserve">MCC+MNC+QMC ID, where the </w:t>
      </w:r>
      <w:r w:rsidRPr="006C2F56">
        <w:rPr>
          <w:rFonts w:ascii="Times New Roman" w:eastAsia="Times New Roman" w:hAnsi="Times New Roman"/>
          <w:i/>
          <w:color w:val="000000"/>
          <w:szCs w:val="20"/>
          <w:lang w:val="en-GB"/>
        </w:rPr>
        <w:t>MCC and MNC are coming with the trace activation request from the management system to identify one PLMN containing the management system, and</w:t>
      </w:r>
      <w:r w:rsidRPr="006C2F56">
        <w:rPr>
          <w:rFonts w:ascii="Times New Roman" w:eastAsia="Times New Roman" w:hAnsi="Times New Roman"/>
          <w:i/>
          <w:szCs w:val="20"/>
          <w:lang w:val="en-GB"/>
        </w:rPr>
        <w:t xml:space="preserve"> QMC ID is a 3 byte Octet String.</w:t>
      </w:r>
    </w:p>
    <w:p w14:paraId="67F94F63" w14:textId="77777777" w:rsidR="00B74D95" w:rsidRPr="006C2F56" w:rsidRDefault="00B74D95" w:rsidP="006C2F56">
      <w:pPr>
        <w:overflowPunct w:val="0"/>
        <w:autoSpaceDE w:val="0"/>
        <w:autoSpaceDN w:val="0"/>
        <w:adjustRightInd w:val="0"/>
        <w:spacing w:after="180" w:line="240" w:lineRule="auto"/>
        <w:ind w:left="540"/>
        <w:textAlignment w:val="baseline"/>
        <w:rPr>
          <w:rFonts w:ascii="Times New Roman" w:eastAsia="Times New Roman" w:hAnsi="Times New Roman"/>
          <w:i/>
          <w:szCs w:val="20"/>
          <w:lang w:val="en-GB"/>
        </w:rPr>
      </w:pPr>
      <w:r w:rsidRPr="006C2F56">
        <w:rPr>
          <w:rFonts w:ascii="Times New Roman" w:eastAsia="Times New Roman" w:hAnsi="Times New Roman"/>
          <w:i/>
          <w:szCs w:val="20"/>
          <w:lang w:val="en-GB"/>
        </w:rPr>
        <w:t>The QMC ID is generated by the management system or the operator.</w:t>
      </w:r>
    </w:p>
    <w:p w14:paraId="6267850B" w14:textId="77777777" w:rsidR="00B74D95" w:rsidRPr="006C2F56" w:rsidRDefault="00B74D95" w:rsidP="006C2F56">
      <w:pPr>
        <w:overflowPunct w:val="0"/>
        <w:autoSpaceDE w:val="0"/>
        <w:autoSpaceDN w:val="0"/>
        <w:adjustRightInd w:val="0"/>
        <w:spacing w:after="180" w:line="240" w:lineRule="auto"/>
        <w:ind w:left="540"/>
        <w:textAlignment w:val="baseline"/>
        <w:rPr>
          <w:rFonts w:ascii="Times New Roman" w:eastAsia="Times New Roman" w:hAnsi="Times New Roman"/>
          <w:i/>
          <w:szCs w:val="20"/>
          <w:lang w:val="en-GB"/>
        </w:rPr>
      </w:pPr>
      <w:r w:rsidRPr="006C2F56">
        <w:rPr>
          <w:rFonts w:ascii="Times New Roman" w:eastAsia="Times New Roman" w:hAnsi="Times New Roman"/>
          <w:i/>
          <w:szCs w:val="20"/>
          <w:lang w:val="en-GB"/>
        </w:rPr>
        <w:t>It is used to identify the QoE measurement collection job in the traffic nodes and in the measurement collection centre.</w:t>
      </w:r>
    </w:p>
    <w:p w14:paraId="35881D93" w14:textId="77777777" w:rsidR="00B74D95" w:rsidRDefault="00B74D95" w:rsidP="00060834">
      <w:pPr>
        <w:rPr>
          <w:lang w:val="en-GB" w:eastAsia="zh-CN"/>
        </w:rPr>
      </w:pPr>
    </w:p>
    <w:p w14:paraId="4A0FA906" w14:textId="57AB23B4" w:rsidR="00F72664" w:rsidRDefault="0091186F" w:rsidP="00060834">
      <w:pPr>
        <w:rPr>
          <w:lang w:val="en-GB" w:eastAsia="zh-CN"/>
        </w:rPr>
      </w:pPr>
      <w:r>
        <w:rPr>
          <w:lang w:val="en-GB" w:eastAsia="zh-CN"/>
        </w:rPr>
        <w:t xml:space="preserve">RAN2 acknowledge the need for an ID, but some companies commented </w:t>
      </w:r>
      <w:r w:rsidR="00F578E4">
        <w:rPr>
          <w:lang w:val="en-GB" w:eastAsia="zh-CN"/>
        </w:rPr>
        <w:t xml:space="preserve">that the QoE reference is large and it may be unnecessary to signal it in RRC. The QoE reference consists of the PLMN-ID + a three byte </w:t>
      </w:r>
      <w:r w:rsidR="00F578E4">
        <w:rPr>
          <w:lang w:val="en-GB" w:eastAsia="zh-CN"/>
        </w:rPr>
        <w:lastRenderedPageBreak/>
        <w:t>octet</w:t>
      </w:r>
      <w:r w:rsidR="00F72664">
        <w:rPr>
          <w:lang w:val="en-GB" w:eastAsia="zh-CN"/>
        </w:rPr>
        <w:t xml:space="preserve"> string. The PLMN-ID is 2-5 bytes depending on if the MCC is signalled or not. It seems that this size is quite small compared to the QoE configuration file of around 1000 bytes and the QoE report of around 8000 bytes</w:t>
      </w:r>
      <w:r w:rsidR="007833B1">
        <w:rPr>
          <w:lang w:val="en-GB" w:eastAsia="zh-CN"/>
        </w:rPr>
        <w:t xml:space="preserve"> (maximum sizes defined in LTE)</w:t>
      </w:r>
      <w:r w:rsidR="00F72664">
        <w:rPr>
          <w:lang w:val="en-GB" w:eastAsia="zh-CN"/>
        </w:rPr>
        <w:t>.</w:t>
      </w:r>
    </w:p>
    <w:p w14:paraId="06583EA7" w14:textId="619697C9" w:rsidR="00B74D95" w:rsidRDefault="00F72664" w:rsidP="00060834">
      <w:pPr>
        <w:rPr>
          <w:b/>
          <w:lang w:val="en-GB" w:eastAsia="zh-CN"/>
        </w:rPr>
      </w:pPr>
      <w:r w:rsidRPr="00F72664">
        <w:rPr>
          <w:b/>
          <w:lang w:val="en-GB" w:eastAsia="zh-CN"/>
        </w:rPr>
        <w:t xml:space="preserve">Observation 1: The size of the QoE reference is negligible compared to the QoE configuration </w:t>
      </w:r>
      <w:r w:rsidR="006C7C53">
        <w:rPr>
          <w:b/>
          <w:lang w:val="en-GB" w:eastAsia="zh-CN"/>
        </w:rPr>
        <w:t>file and</w:t>
      </w:r>
      <w:r w:rsidRPr="00F72664">
        <w:rPr>
          <w:b/>
          <w:lang w:val="en-GB" w:eastAsia="zh-CN"/>
        </w:rPr>
        <w:t xml:space="preserve"> the QoE report. </w:t>
      </w:r>
      <w:r w:rsidR="00BF30EF" w:rsidRPr="00F72664">
        <w:rPr>
          <w:b/>
          <w:lang w:val="en-GB" w:eastAsia="zh-CN"/>
        </w:rPr>
        <w:t xml:space="preserve"> </w:t>
      </w:r>
    </w:p>
    <w:p w14:paraId="7B2AAFC0" w14:textId="1E6C74AE" w:rsidR="00F72664" w:rsidRPr="00F72664" w:rsidRDefault="006C7C53" w:rsidP="00060834">
      <w:pPr>
        <w:rPr>
          <w:lang w:val="en-GB" w:eastAsia="zh-CN"/>
        </w:rPr>
      </w:pPr>
      <w:r>
        <w:rPr>
          <w:lang w:val="en-GB" w:eastAsia="zh-CN"/>
        </w:rPr>
        <w:t>The purpose of the QoE Reference is to be used in the gNB for routing of the report to the correct recipient, Therefore, t</w:t>
      </w:r>
      <w:r w:rsidR="00F72664">
        <w:rPr>
          <w:lang w:val="en-GB" w:eastAsia="zh-CN"/>
        </w:rPr>
        <w:t xml:space="preserve">here needs to be a mapping in the gNB between the report and the QoE reference, as gNB need to forward the report together with the QoE reference to the trace collection entity. </w:t>
      </w:r>
      <w:r w:rsidR="00F72664" w:rsidRPr="00F72664">
        <w:rPr>
          <w:lang w:val="en-GB" w:eastAsia="zh-CN"/>
        </w:rPr>
        <w:t xml:space="preserve">If the </w:t>
      </w:r>
      <w:r w:rsidR="00F72664">
        <w:rPr>
          <w:lang w:val="en-GB" w:eastAsia="zh-CN"/>
        </w:rPr>
        <w:t xml:space="preserve">UE is configured with some other identity than the QoE reference, the other identity will need to be passed on in network signalling together with the QoE reference so that the target gNB can check whether it has configured some other UE with the same, shorter ID. In such case the UE will need to be reassigned to another ID, so that the gNB uniquely can identify the report and link it with the QoE reference. </w:t>
      </w:r>
      <w:r w:rsidR="00121177">
        <w:rPr>
          <w:lang w:val="en-GB" w:eastAsia="zh-CN"/>
        </w:rPr>
        <w:t xml:space="preserve">It does not seem motivated to add the extra complexity to have a shorter ID when the QoE reference anyhow is small in the context. </w:t>
      </w:r>
    </w:p>
    <w:p w14:paraId="2E42B5F3" w14:textId="5DA1A306" w:rsidR="006C7C53" w:rsidRPr="006C7C53" w:rsidRDefault="00B74D95" w:rsidP="006C7C53">
      <w:pPr>
        <w:rPr>
          <w:b/>
          <w:lang w:val="en-GB" w:eastAsia="zh-CN"/>
        </w:rPr>
      </w:pPr>
      <w:r w:rsidRPr="008538A4">
        <w:rPr>
          <w:b/>
          <w:lang w:val="en-GB" w:eastAsia="zh-CN"/>
        </w:rPr>
        <w:t xml:space="preserve">Proposal </w:t>
      </w:r>
      <w:r w:rsidR="006C7C53">
        <w:rPr>
          <w:b/>
          <w:lang w:val="en-GB" w:eastAsia="zh-CN"/>
        </w:rPr>
        <w:t>1</w:t>
      </w:r>
      <w:r w:rsidRPr="008538A4">
        <w:rPr>
          <w:b/>
          <w:lang w:val="en-GB" w:eastAsia="zh-CN"/>
        </w:rPr>
        <w:t xml:space="preserve">: </w:t>
      </w:r>
      <w:r>
        <w:rPr>
          <w:b/>
          <w:lang w:val="en-GB" w:eastAsia="zh-CN"/>
        </w:rPr>
        <w:t xml:space="preserve">Configure QoE Reference together with the QoE configuration. </w:t>
      </w:r>
    </w:p>
    <w:p w14:paraId="504AF78E" w14:textId="7FF48DB0" w:rsidR="006C7C53" w:rsidRDefault="006C7C53" w:rsidP="006C7C53">
      <w:pPr>
        <w:rPr>
          <w:lang w:val="en-GB" w:eastAsia="zh-CN"/>
        </w:rPr>
      </w:pPr>
      <w:r w:rsidRPr="008538A4">
        <w:rPr>
          <w:b/>
          <w:lang w:val="en-GB" w:eastAsia="zh-CN"/>
        </w:rPr>
        <w:t xml:space="preserve">Proposal </w:t>
      </w:r>
      <w:r>
        <w:rPr>
          <w:b/>
          <w:lang w:val="en-GB" w:eastAsia="zh-CN"/>
        </w:rPr>
        <w:t>2</w:t>
      </w:r>
      <w:r w:rsidRPr="008538A4">
        <w:rPr>
          <w:b/>
          <w:lang w:val="en-GB" w:eastAsia="zh-CN"/>
        </w:rPr>
        <w:t xml:space="preserve">: </w:t>
      </w:r>
      <w:r>
        <w:rPr>
          <w:b/>
          <w:lang w:val="en-GB" w:eastAsia="zh-CN"/>
        </w:rPr>
        <w:t xml:space="preserve">The UE sends QoE Reference in the RRC message together with the QoE report. </w:t>
      </w:r>
    </w:p>
    <w:p w14:paraId="0E3D272D" w14:textId="77777777" w:rsidR="009D725A" w:rsidRDefault="009D725A" w:rsidP="00C30004">
      <w:pPr>
        <w:pStyle w:val="Heading1"/>
      </w:pPr>
      <w:bookmarkStart w:id="4" w:name="_Toc242573360"/>
      <w:r w:rsidRPr="00C30004">
        <w:t>Summary</w:t>
      </w:r>
      <w:bookmarkEnd w:id="4"/>
    </w:p>
    <w:p w14:paraId="5B1498A0" w14:textId="1F6AE145" w:rsidR="00CE72CC" w:rsidRPr="00EA3C8E" w:rsidRDefault="005552F0" w:rsidP="001E79FB">
      <w:bookmarkStart w:id="5" w:name="_Toc242573361"/>
      <w:r>
        <w:t>RAN2 is kindly asked to</w:t>
      </w:r>
      <w:r w:rsidR="00063686">
        <w:t xml:space="preserve"> discuss the following</w:t>
      </w:r>
      <w:r w:rsidR="009F765E">
        <w:t xml:space="preserve"> </w:t>
      </w:r>
      <w:r w:rsidR="0075383D">
        <w:t xml:space="preserve">observation and </w:t>
      </w:r>
      <w:r w:rsidR="009F765E">
        <w:t>proposal</w:t>
      </w:r>
      <w:r w:rsidR="000C5310">
        <w:t>s</w:t>
      </w:r>
      <w:r w:rsidR="00063686">
        <w:t>:</w:t>
      </w:r>
    </w:p>
    <w:p w14:paraId="3C35D480" w14:textId="77777777" w:rsidR="0075383D" w:rsidRDefault="0075383D" w:rsidP="0075383D">
      <w:pPr>
        <w:rPr>
          <w:b/>
          <w:lang w:val="en-GB" w:eastAsia="zh-CN"/>
        </w:rPr>
      </w:pPr>
      <w:r w:rsidRPr="00F72664">
        <w:rPr>
          <w:b/>
          <w:lang w:val="en-GB" w:eastAsia="zh-CN"/>
        </w:rPr>
        <w:t xml:space="preserve">Observation 1: The size of the QoE reference is negligible compared to the QoE configuration </w:t>
      </w:r>
      <w:r>
        <w:rPr>
          <w:b/>
          <w:lang w:val="en-GB" w:eastAsia="zh-CN"/>
        </w:rPr>
        <w:t>file and</w:t>
      </w:r>
      <w:r w:rsidRPr="00F72664">
        <w:rPr>
          <w:b/>
          <w:lang w:val="en-GB" w:eastAsia="zh-CN"/>
        </w:rPr>
        <w:t xml:space="preserve"> the QoE report.  </w:t>
      </w:r>
    </w:p>
    <w:p w14:paraId="3F8508E6" w14:textId="77777777" w:rsidR="0075383D" w:rsidRPr="006C7C53" w:rsidRDefault="0075383D" w:rsidP="0075383D">
      <w:pPr>
        <w:rPr>
          <w:b/>
          <w:lang w:val="en-GB" w:eastAsia="zh-CN"/>
        </w:rPr>
      </w:pPr>
      <w:r w:rsidRPr="008538A4">
        <w:rPr>
          <w:b/>
          <w:lang w:val="en-GB" w:eastAsia="zh-CN"/>
        </w:rPr>
        <w:t xml:space="preserve">Proposal </w:t>
      </w:r>
      <w:r>
        <w:rPr>
          <w:b/>
          <w:lang w:val="en-GB" w:eastAsia="zh-CN"/>
        </w:rPr>
        <w:t>1</w:t>
      </w:r>
      <w:r w:rsidRPr="008538A4">
        <w:rPr>
          <w:b/>
          <w:lang w:val="en-GB" w:eastAsia="zh-CN"/>
        </w:rPr>
        <w:t xml:space="preserve">: </w:t>
      </w:r>
      <w:r>
        <w:rPr>
          <w:b/>
          <w:lang w:val="en-GB" w:eastAsia="zh-CN"/>
        </w:rPr>
        <w:t xml:space="preserve">Configure QoE Reference together with the QoE configuration. </w:t>
      </w:r>
    </w:p>
    <w:p w14:paraId="6DB343A8" w14:textId="77777777" w:rsidR="0075383D" w:rsidRDefault="0075383D" w:rsidP="0075383D">
      <w:pPr>
        <w:rPr>
          <w:lang w:val="en-GB" w:eastAsia="zh-CN"/>
        </w:rPr>
      </w:pPr>
      <w:r w:rsidRPr="008538A4">
        <w:rPr>
          <w:b/>
          <w:lang w:val="en-GB" w:eastAsia="zh-CN"/>
        </w:rPr>
        <w:t xml:space="preserve">Proposal </w:t>
      </w:r>
      <w:r>
        <w:rPr>
          <w:b/>
          <w:lang w:val="en-GB" w:eastAsia="zh-CN"/>
        </w:rPr>
        <w:t>2</w:t>
      </w:r>
      <w:r w:rsidRPr="008538A4">
        <w:rPr>
          <w:b/>
          <w:lang w:val="en-GB" w:eastAsia="zh-CN"/>
        </w:rPr>
        <w:t xml:space="preserve">: </w:t>
      </w:r>
      <w:r>
        <w:rPr>
          <w:b/>
          <w:lang w:val="en-GB" w:eastAsia="zh-CN"/>
        </w:rPr>
        <w:t xml:space="preserve">The UE sends QoE Reference in the RRC message together with the QoE report. </w:t>
      </w:r>
    </w:p>
    <w:p w14:paraId="0156C035" w14:textId="77777777" w:rsidR="007D08CD" w:rsidRPr="00320267" w:rsidRDefault="009D725A" w:rsidP="00320267">
      <w:pPr>
        <w:pStyle w:val="Heading1"/>
        <w:rPr>
          <w:noProof/>
        </w:rPr>
      </w:pPr>
      <w:bookmarkStart w:id="6" w:name="_GoBack"/>
      <w:bookmarkEnd w:id="6"/>
      <w:r>
        <w:rPr>
          <w:noProof/>
        </w:rPr>
        <w:t>References</w:t>
      </w:r>
      <w:bookmarkEnd w:id="5"/>
    </w:p>
    <w:p w14:paraId="217A16A3" w14:textId="77777777" w:rsidR="00E71791" w:rsidRDefault="00E71791" w:rsidP="00E71791">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473889688"/>
      <w:r>
        <w:rPr>
          <w:rFonts w:cs="Arial"/>
          <w:lang w:val="en-GB"/>
        </w:rPr>
        <w:t xml:space="preserve">TR 38.890, </w:t>
      </w:r>
      <w:r w:rsidRPr="00A242D3">
        <w:rPr>
          <w:rFonts w:cs="Arial"/>
          <w:lang w:val="en-GB"/>
        </w:rPr>
        <w:t>Study on NR QoE management and optimizations for diverse services</w:t>
      </w:r>
      <w:r>
        <w:rPr>
          <w:rFonts w:cs="Arial"/>
          <w:lang w:val="de-DE"/>
        </w:rPr>
        <w:t>, Ericsson</w:t>
      </w:r>
      <w:bookmarkEnd w:id="7"/>
    </w:p>
    <w:p w14:paraId="63C32668" w14:textId="77777777" w:rsidR="00E71791" w:rsidRDefault="00E71791" w:rsidP="00E71791">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 xml:space="preserve">RP-210913, </w:t>
      </w:r>
      <w:r w:rsidRPr="00A242D3">
        <w:rPr>
          <w:rFonts w:cs="Arial"/>
          <w:lang w:val="de-DE"/>
        </w:rPr>
        <w:t>NR QoE management and optimizations for diverse services</w:t>
      </w:r>
      <w:r>
        <w:rPr>
          <w:rFonts w:cs="Arial"/>
          <w:lang w:val="de-DE"/>
        </w:rPr>
        <w:t>, China Unicom</w:t>
      </w:r>
    </w:p>
    <w:p w14:paraId="50A550A7" w14:textId="77777777" w:rsidR="00E71791" w:rsidRDefault="00E71791" w:rsidP="00E71791">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 w:name="_Ref68190789"/>
      <w:r w:rsidRPr="00A242D3">
        <w:rPr>
          <w:rFonts w:cs="Arial"/>
          <w:lang w:val="de-DE"/>
        </w:rPr>
        <w:t>R2-2100079</w:t>
      </w:r>
      <w:r>
        <w:rPr>
          <w:rFonts w:cs="Arial"/>
          <w:lang w:val="de-DE"/>
        </w:rPr>
        <w:t xml:space="preserve">, </w:t>
      </w:r>
      <w:r w:rsidRPr="00A242D3">
        <w:rPr>
          <w:rFonts w:cs="Arial"/>
          <w:lang w:val="de-DE"/>
        </w:rPr>
        <w:t>LS on QoE Measurement Collection</w:t>
      </w:r>
      <w:bookmarkEnd w:id="8"/>
    </w:p>
    <w:p w14:paraId="585C2872" w14:textId="138D7BD7" w:rsidR="00426E11" w:rsidRDefault="00E71791" w:rsidP="003A1150">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sidRPr="00E71791">
        <w:rPr>
          <w:rFonts w:cs="Arial"/>
          <w:lang w:val="de-DE"/>
        </w:rPr>
        <w:t>R2-2102414, LS reply on QoE Measurement Collection</w:t>
      </w:r>
    </w:p>
    <w:p w14:paraId="35D4B52F" w14:textId="5BC6A25D" w:rsidR="00B74D95" w:rsidRPr="00E71791" w:rsidRDefault="00B74D95" w:rsidP="00A91F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9" w:name="_Ref68191355"/>
      <w:r>
        <w:rPr>
          <w:rFonts w:cs="Arial"/>
          <w:lang w:val="de-DE"/>
        </w:rPr>
        <w:t>TS 28.405,</w:t>
      </w:r>
      <w:bookmarkEnd w:id="9"/>
      <w:r>
        <w:rPr>
          <w:rFonts w:cs="Arial"/>
          <w:lang w:val="de-DE"/>
        </w:rPr>
        <w:t xml:space="preserve"> </w:t>
      </w:r>
      <w:r w:rsidR="00A91FE6" w:rsidRPr="00A91FE6">
        <w:rPr>
          <w:rFonts w:cs="Arial"/>
          <w:lang w:val="de-DE"/>
        </w:rPr>
        <w:t>Quality of Experience (QoE) measurement collection</w:t>
      </w:r>
      <w:r w:rsidR="00A91FE6">
        <w:rPr>
          <w:rFonts w:cs="Arial"/>
          <w:lang w:val="de-DE"/>
        </w:rPr>
        <w:t>; Control and configuration</w:t>
      </w:r>
    </w:p>
    <w:sectPr w:rsidR="00B74D95" w:rsidRPr="00E71791" w:rsidSect="001069AD">
      <w:footerReference w:type="default" r:id="rId1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F463" w16cex:dateUtc="2021-05-10T16:05:00Z"/>
  <w16cex:commentExtensible w16cex:durableId="2443F4F5" w16cex:dateUtc="2021-05-10T16: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07CFF" w14:textId="77777777" w:rsidR="007B52E9" w:rsidRDefault="007B52E9">
      <w:r>
        <w:separator/>
      </w:r>
    </w:p>
  </w:endnote>
  <w:endnote w:type="continuationSeparator" w:id="0">
    <w:p w14:paraId="5942AE99" w14:textId="77777777" w:rsidR="007B52E9" w:rsidRDefault="007B52E9">
      <w:r>
        <w:continuationSeparator/>
      </w:r>
    </w:p>
  </w:endnote>
  <w:endnote w:type="continuationNotice" w:id="1">
    <w:p w14:paraId="6C98BA50" w14:textId="77777777" w:rsidR="007B52E9" w:rsidRDefault="007B52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BDAA3" w14:textId="77777777" w:rsidR="00E91B11" w:rsidRDefault="00E91B11"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9F893" w14:textId="77777777" w:rsidR="007B52E9" w:rsidRDefault="007B52E9">
      <w:r>
        <w:separator/>
      </w:r>
    </w:p>
  </w:footnote>
  <w:footnote w:type="continuationSeparator" w:id="0">
    <w:p w14:paraId="60AA0520" w14:textId="77777777" w:rsidR="007B52E9" w:rsidRDefault="007B52E9">
      <w:r>
        <w:continuationSeparator/>
      </w:r>
    </w:p>
  </w:footnote>
  <w:footnote w:type="continuationNotice" w:id="1">
    <w:p w14:paraId="39423637" w14:textId="77777777" w:rsidR="007B52E9" w:rsidRDefault="007B52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0"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2"/>
  </w:num>
  <w:num w:numId="3">
    <w:abstractNumId w:val="5"/>
  </w:num>
  <w:num w:numId="4">
    <w:abstractNumId w:val="6"/>
  </w:num>
  <w:num w:numId="5">
    <w:abstractNumId w:val="2"/>
  </w:num>
  <w:num w:numId="6">
    <w:abstractNumId w:val="14"/>
  </w:num>
  <w:num w:numId="7">
    <w:abstractNumId w:val="1"/>
  </w:num>
  <w:num w:numId="8">
    <w:abstractNumId w:val="8"/>
  </w:num>
  <w:num w:numId="9">
    <w:abstractNumId w:val="3"/>
  </w:num>
  <w:num w:numId="10">
    <w:abstractNumId w:val="4"/>
  </w:num>
  <w:num w:numId="11">
    <w:abstractNumId w:val="10"/>
  </w:num>
  <w:num w:numId="12">
    <w:abstractNumId w:val="13"/>
  </w:num>
  <w:num w:numId="13">
    <w:abstractNumId w:val="16"/>
  </w:num>
  <w:num w:numId="14">
    <w:abstractNumId w:val="11"/>
  </w:num>
  <w:num w:numId="15">
    <w:abstractNumId w:val="9"/>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9F6"/>
    <w:rsid w:val="00001770"/>
    <w:rsid w:val="000028DD"/>
    <w:rsid w:val="0000311A"/>
    <w:rsid w:val="00003465"/>
    <w:rsid w:val="0000455C"/>
    <w:rsid w:val="000059B7"/>
    <w:rsid w:val="000060A7"/>
    <w:rsid w:val="00006CE2"/>
    <w:rsid w:val="0001045F"/>
    <w:rsid w:val="00011902"/>
    <w:rsid w:val="00011E6B"/>
    <w:rsid w:val="00012285"/>
    <w:rsid w:val="00013C93"/>
    <w:rsid w:val="00016917"/>
    <w:rsid w:val="00020287"/>
    <w:rsid w:val="0002041C"/>
    <w:rsid w:val="00020F07"/>
    <w:rsid w:val="00020FD3"/>
    <w:rsid w:val="00020FFE"/>
    <w:rsid w:val="0002181B"/>
    <w:rsid w:val="00022928"/>
    <w:rsid w:val="00022B2E"/>
    <w:rsid w:val="000234B6"/>
    <w:rsid w:val="00026DD2"/>
    <w:rsid w:val="00027118"/>
    <w:rsid w:val="00027BEA"/>
    <w:rsid w:val="00031D4B"/>
    <w:rsid w:val="00034099"/>
    <w:rsid w:val="000343D3"/>
    <w:rsid w:val="0003547B"/>
    <w:rsid w:val="000362CF"/>
    <w:rsid w:val="00037FCD"/>
    <w:rsid w:val="0004162A"/>
    <w:rsid w:val="00042CEE"/>
    <w:rsid w:val="00044ACC"/>
    <w:rsid w:val="000464BA"/>
    <w:rsid w:val="0004760F"/>
    <w:rsid w:val="000477A9"/>
    <w:rsid w:val="00047A6F"/>
    <w:rsid w:val="00054991"/>
    <w:rsid w:val="00054EDE"/>
    <w:rsid w:val="000559F7"/>
    <w:rsid w:val="0005608C"/>
    <w:rsid w:val="0005707A"/>
    <w:rsid w:val="00060527"/>
    <w:rsid w:val="0006078D"/>
    <w:rsid w:val="00060834"/>
    <w:rsid w:val="00061160"/>
    <w:rsid w:val="000615CA"/>
    <w:rsid w:val="00061674"/>
    <w:rsid w:val="000627CD"/>
    <w:rsid w:val="000635F0"/>
    <w:rsid w:val="00063686"/>
    <w:rsid w:val="00064E2F"/>
    <w:rsid w:val="0006640F"/>
    <w:rsid w:val="000677EA"/>
    <w:rsid w:val="00067937"/>
    <w:rsid w:val="00070C3F"/>
    <w:rsid w:val="000754F8"/>
    <w:rsid w:val="0007655C"/>
    <w:rsid w:val="0007673B"/>
    <w:rsid w:val="0007742F"/>
    <w:rsid w:val="00077873"/>
    <w:rsid w:val="00077F3F"/>
    <w:rsid w:val="00080B58"/>
    <w:rsid w:val="00080D29"/>
    <w:rsid w:val="00081027"/>
    <w:rsid w:val="00081BF4"/>
    <w:rsid w:val="000844B5"/>
    <w:rsid w:val="00085075"/>
    <w:rsid w:val="00085FC2"/>
    <w:rsid w:val="0008686B"/>
    <w:rsid w:val="00086CBC"/>
    <w:rsid w:val="00087173"/>
    <w:rsid w:val="00091AE6"/>
    <w:rsid w:val="00092079"/>
    <w:rsid w:val="00095F52"/>
    <w:rsid w:val="0009603A"/>
    <w:rsid w:val="000967EE"/>
    <w:rsid w:val="000972AC"/>
    <w:rsid w:val="00097F77"/>
    <w:rsid w:val="000A1986"/>
    <w:rsid w:val="000A1DFC"/>
    <w:rsid w:val="000A20E0"/>
    <w:rsid w:val="000A248B"/>
    <w:rsid w:val="000A2C8C"/>
    <w:rsid w:val="000A3340"/>
    <w:rsid w:val="000A3608"/>
    <w:rsid w:val="000A360E"/>
    <w:rsid w:val="000A7088"/>
    <w:rsid w:val="000A7328"/>
    <w:rsid w:val="000A787E"/>
    <w:rsid w:val="000B3B6B"/>
    <w:rsid w:val="000B47D4"/>
    <w:rsid w:val="000B47F5"/>
    <w:rsid w:val="000B4E91"/>
    <w:rsid w:val="000B6575"/>
    <w:rsid w:val="000B73E2"/>
    <w:rsid w:val="000B7678"/>
    <w:rsid w:val="000C034B"/>
    <w:rsid w:val="000C0661"/>
    <w:rsid w:val="000C07B7"/>
    <w:rsid w:val="000C0AFF"/>
    <w:rsid w:val="000C0CD6"/>
    <w:rsid w:val="000C0D9F"/>
    <w:rsid w:val="000C24F4"/>
    <w:rsid w:val="000C3430"/>
    <w:rsid w:val="000C4330"/>
    <w:rsid w:val="000C5310"/>
    <w:rsid w:val="000C6C63"/>
    <w:rsid w:val="000C6DEF"/>
    <w:rsid w:val="000D0274"/>
    <w:rsid w:val="000D1253"/>
    <w:rsid w:val="000D3F81"/>
    <w:rsid w:val="000D44D7"/>
    <w:rsid w:val="000D5183"/>
    <w:rsid w:val="000D61C5"/>
    <w:rsid w:val="000D6FAB"/>
    <w:rsid w:val="000D78FA"/>
    <w:rsid w:val="000E064E"/>
    <w:rsid w:val="000E0D95"/>
    <w:rsid w:val="000E1869"/>
    <w:rsid w:val="000E241E"/>
    <w:rsid w:val="000E2DC8"/>
    <w:rsid w:val="000E3B7B"/>
    <w:rsid w:val="000E47A9"/>
    <w:rsid w:val="000E5791"/>
    <w:rsid w:val="000E6FD5"/>
    <w:rsid w:val="000F01B4"/>
    <w:rsid w:val="000F0838"/>
    <w:rsid w:val="000F217D"/>
    <w:rsid w:val="000F2A3C"/>
    <w:rsid w:val="000F2D1B"/>
    <w:rsid w:val="000F46F1"/>
    <w:rsid w:val="000F5B2F"/>
    <w:rsid w:val="000F6DC3"/>
    <w:rsid w:val="000F786E"/>
    <w:rsid w:val="0010104F"/>
    <w:rsid w:val="00101512"/>
    <w:rsid w:val="0010163E"/>
    <w:rsid w:val="00104ACF"/>
    <w:rsid w:val="00104B6A"/>
    <w:rsid w:val="00104C28"/>
    <w:rsid w:val="00104CE4"/>
    <w:rsid w:val="00105F16"/>
    <w:rsid w:val="001065E3"/>
    <w:rsid w:val="001069AD"/>
    <w:rsid w:val="00106C7C"/>
    <w:rsid w:val="001119D7"/>
    <w:rsid w:val="00111A50"/>
    <w:rsid w:val="00111AA3"/>
    <w:rsid w:val="00112002"/>
    <w:rsid w:val="00112725"/>
    <w:rsid w:val="00113632"/>
    <w:rsid w:val="0011589A"/>
    <w:rsid w:val="00116F90"/>
    <w:rsid w:val="00120090"/>
    <w:rsid w:val="00120D47"/>
    <w:rsid w:val="00121177"/>
    <w:rsid w:val="00121AB6"/>
    <w:rsid w:val="00121EAB"/>
    <w:rsid w:val="00122AD2"/>
    <w:rsid w:val="00124B18"/>
    <w:rsid w:val="00127D2C"/>
    <w:rsid w:val="001308CD"/>
    <w:rsid w:val="00131698"/>
    <w:rsid w:val="00131FBE"/>
    <w:rsid w:val="001348B1"/>
    <w:rsid w:val="00135185"/>
    <w:rsid w:val="00135810"/>
    <w:rsid w:val="00135EC3"/>
    <w:rsid w:val="00136C0C"/>
    <w:rsid w:val="00137432"/>
    <w:rsid w:val="001405E9"/>
    <w:rsid w:val="00140A45"/>
    <w:rsid w:val="00141033"/>
    <w:rsid w:val="001412DA"/>
    <w:rsid w:val="00141366"/>
    <w:rsid w:val="00141635"/>
    <w:rsid w:val="001418FF"/>
    <w:rsid w:val="001434DC"/>
    <w:rsid w:val="00143628"/>
    <w:rsid w:val="001460AC"/>
    <w:rsid w:val="00147469"/>
    <w:rsid w:val="00147532"/>
    <w:rsid w:val="00147E07"/>
    <w:rsid w:val="00150EAC"/>
    <w:rsid w:val="0015199E"/>
    <w:rsid w:val="001558FF"/>
    <w:rsid w:val="0015614F"/>
    <w:rsid w:val="00160860"/>
    <w:rsid w:val="00160CA0"/>
    <w:rsid w:val="00163D65"/>
    <w:rsid w:val="00163E78"/>
    <w:rsid w:val="001646C7"/>
    <w:rsid w:val="00164767"/>
    <w:rsid w:val="001648FB"/>
    <w:rsid w:val="00164FB0"/>
    <w:rsid w:val="001652CD"/>
    <w:rsid w:val="001659F2"/>
    <w:rsid w:val="00165F9B"/>
    <w:rsid w:val="00166999"/>
    <w:rsid w:val="00171021"/>
    <w:rsid w:val="00171C89"/>
    <w:rsid w:val="00172C20"/>
    <w:rsid w:val="001739C4"/>
    <w:rsid w:val="00174076"/>
    <w:rsid w:val="00174DA5"/>
    <w:rsid w:val="00175631"/>
    <w:rsid w:val="00175AD2"/>
    <w:rsid w:val="00177993"/>
    <w:rsid w:val="0018039A"/>
    <w:rsid w:val="00182927"/>
    <w:rsid w:val="0018431E"/>
    <w:rsid w:val="00185B40"/>
    <w:rsid w:val="0018641B"/>
    <w:rsid w:val="00187710"/>
    <w:rsid w:val="00187C4F"/>
    <w:rsid w:val="00190C91"/>
    <w:rsid w:val="00191C5C"/>
    <w:rsid w:val="001924EE"/>
    <w:rsid w:val="00192610"/>
    <w:rsid w:val="00192EBA"/>
    <w:rsid w:val="00194E7F"/>
    <w:rsid w:val="00195BC6"/>
    <w:rsid w:val="001A0F41"/>
    <w:rsid w:val="001A1E03"/>
    <w:rsid w:val="001A241E"/>
    <w:rsid w:val="001A3300"/>
    <w:rsid w:val="001A3F52"/>
    <w:rsid w:val="001A5A6D"/>
    <w:rsid w:val="001A7583"/>
    <w:rsid w:val="001A7A9E"/>
    <w:rsid w:val="001A7BB7"/>
    <w:rsid w:val="001B03A6"/>
    <w:rsid w:val="001B042D"/>
    <w:rsid w:val="001B241A"/>
    <w:rsid w:val="001B2C38"/>
    <w:rsid w:val="001B2F7D"/>
    <w:rsid w:val="001B3E9A"/>
    <w:rsid w:val="001B7CDF"/>
    <w:rsid w:val="001C08A0"/>
    <w:rsid w:val="001C230D"/>
    <w:rsid w:val="001C3846"/>
    <w:rsid w:val="001C481D"/>
    <w:rsid w:val="001C6BCF"/>
    <w:rsid w:val="001D01C0"/>
    <w:rsid w:val="001D026D"/>
    <w:rsid w:val="001D050D"/>
    <w:rsid w:val="001D16C0"/>
    <w:rsid w:val="001D1DD1"/>
    <w:rsid w:val="001D2E7A"/>
    <w:rsid w:val="001D42C7"/>
    <w:rsid w:val="001D4711"/>
    <w:rsid w:val="001D4E8C"/>
    <w:rsid w:val="001D5744"/>
    <w:rsid w:val="001D5EC7"/>
    <w:rsid w:val="001D6710"/>
    <w:rsid w:val="001D7494"/>
    <w:rsid w:val="001E0378"/>
    <w:rsid w:val="001E46DB"/>
    <w:rsid w:val="001E5DED"/>
    <w:rsid w:val="001E62D4"/>
    <w:rsid w:val="001E63D8"/>
    <w:rsid w:val="001E65BE"/>
    <w:rsid w:val="001E6A9C"/>
    <w:rsid w:val="001E79FB"/>
    <w:rsid w:val="001F0296"/>
    <w:rsid w:val="001F0472"/>
    <w:rsid w:val="001F13E9"/>
    <w:rsid w:val="001F1A34"/>
    <w:rsid w:val="001F227E"/>
    <w:rsid w:val="001F2DD3"/>
    <w:rsid w:val="001F3C0E"/>
    <w:rsid w:val="001F4A30"/>
    <w:rsid w:val="001F5514"/>
    <w:rsid w:val="001F5C2E"/>
    <w:rsid w:val="001F5CA1"/>
    <w:rsid w:val="001F62E1"/>
    <w:rsid w:val="001F65DB"/>
    <w:rsid w:val="002013B3"/>
    <w:rsid w:val="00204FA6"/>
    <w:rsid w:val="002065BE"/>
    <w:rsid w:val="002068E7"/>
    <w:rsid w:val="002114D0"/>
    <w:rsid w:val="00211629"/>
    <w:rsid w:val="0021199D"/>
    <w:rsid w:val="002124F8"/>
    <w:rsid w:val="00212767"/>
    <w:rsid w:val="002129BC"/>
    <w:rsid w:val="00213932"/>
    <w:rsid w:val="0021431F"/>
    <w:rsid w:val="00214866"/>
    <w:rsid w:val="002165E9"/>
    <w:rsid w:val="002168A6"/>
    <w:rsid w:val="00217ECC"/>
    <w:rsid w:val="00220B09"/>
    <w:rsid w:val="00221D91"/>
    <w:rsid w:val="002222B0"/>
    <w:rsid w:val="00222C1B"/>
    <w:rsid w:val="00223227"/>
    <w:rsid w:val="00223AA5"/>
    <w:rsid w:val="00225A63"/>
    <w:rsid w:val="00225E2B"/>
    <w:rsid w:val="00226C55"/>
    <w:rsid w:val="002273C1"/>
    <w:rsid w:val="00227E95"/>
    <w:rsid w:val="0023429F"/>
    <w:rsid w:val="0023794F"/>
    <w:rsid w:val="00237E90"/>
    <w:rsid w:val="00241971"/>
    <w:rsid w:val="00244267"/>
    <w:rsid w:val="00245149"/>
    <w:rsid w:val="00245BF5"/>
    <w:rsid w:val="00246201"/>
    <w:rsid w:val="00246224"/>
    <w:rsid w:val="00247306"/>
    <w:rsid w:val="00250587"/>
    <w:rsid w:val="0025402C"/>
    <w:rsid w:val="0025669D"/>
    <w:rsid w:val="00256F5B"/>
    <w:rsid w:val="00260EC7"/>
    <w:rsid w:val="00261284"/>
    <w:rsid w:val="00262065"/>
    <w:rsid w:val="0026364A"/>
    <w:rsid w:val="00263CAB"/>
    <w:rsid w:val="0026475C"/>
    <w:rsid w:val="00264848"/>
    <w:rsid w:val="00267A3C"/>
    <w:rsid w:val="00270ACA"/>
    <w:rsid w:val="002733D0"/>
    <w:rsid w:val="0027366E"/>
    <w:rsid w:val="00273AB4"/>
    <w:rsid w:val="00273C32"/>
    <w:rsid w:val="00273E23"/>
    <w:rsid w:val="00274E81"/>
    <w:rsid w:val="00281BCA"/>
    <w:rsid w:val="00282A47"/>
    <w:rsid w:val="00283532"/>
    <w:rsid w:val="00283E2E"/>
    <w:rsid w:val="0028711E"/>
    <w:rsid w:val="00287F5C"/>
    <w:rsid w:val="00290477"/>
    <w:rsid w:val="00290546"/>
    <w:rsid w:val="002906CF"/>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44B"/>
    <w:rsid w:val="002A5A51"/>
    <w:rsid w:val="002A70F0"/>
    <w:rsid w:val="002A7350"/>
    <w:rsid w:val="002A7359"/>
    <w:rsid w:val="002B0145"/>
    <w:rsid w:val="002B1EE7"/>
    <w:rsid w:val="002B2BE1"/>
    <w:rsid w:val="002B2D71"/>
    <w:rsid w:val="002B36C6"/>
    <w:rsid w:val="002B37DC"/>
    <w:rsid w:val="002B3C27"/>
    <w:rsid w:val="002C1EF6"/>
    <w:rsid w:val="002C2026"/>
    <w:rsid w:val="002C4082"/>
    <w:rsid w:val="002C6AEE"/>
    <w:rsid w:val="002C7AE7"/>
    <w:rsid w:val="002C7C9D"/>
    <w:rsid w:val="002D047E"/>
    <w:rsid w:val="002D0E48"/>
    <w:rsid w:val="002D1891"/>
    <w:rsid w:val="002D2540"/>
    <w:rsid w:val="002D5432"/>
    <w:rsid w:val="002D647E"/>
    <w:rsid w:val="002D718A"/>
    <w:rsid w:val="002E0414"/>
    <w:rsid w:val="002E1A67"/>
    <w:rsid w:val="002E1A79"/>
    <w:rsid w:val="002E25F5"/>
    <w:rsid w:val="002E28AC"/>
    <w:rsid w:val="002E3D8C"/>
    <w:rsid w:val="002E4760"/>
    <w:rsid w:val="002E4BCB"/>
    <w:rsid w:val="002E5D36"/>
    <w:rsid w:val="002F0743"/>
    <w:rsid w:val="002F2A0B"/>
    <w:rsid w:val="002F3825"/>
    <w:rsid w:val="002F3BF2"/>
    <w:rsid w:val="002F3EAA"/>
    <w:rsid w:val="002F4578"/>
    <w:rsid w:val="002F703D"/>
    <w:rsid w:val="002F7811"/>
    <w:rsid w:val="0030036C"/>
    <w:rsid w:val="0030150B"/>
    <w:rsid w:val="00301B8A"/>
    <w:rsid w:val="00303A35"/>
    <w:rsid w:val="00304CB0"/>
    <w:rsid w:val="00305268"/>
    <w:rsid w:val="003068A8"/>
    <w:rsid w:val="00306D5D"/>
    <w:rsid w:val="00310765"/>
    <w:rsid w:val="003108CA"/>
    <w:rsid w:val="003139D8"/>
    <w:rsid w:val="00314A99"/>
    <w:rsid w:val="00315011"/>
    <w:rsid w:val="00320267"/>
    <w:rsid w:val="00321A47"/>
    <w:rsid w:val="00322341"/>
    <w:rsid w:val="0032352F"/>
    <w:rsid w:val="00323BC7"/>
    <w:rsid w:val="00324C91"/>
    <w:rsid w:val="00326339"/>
    <w:rsid w:val="0032761C"/>
    <w:rsid w:val="00327B43"/>
    <w:rsid w:val="00330191"/>
    <w:rsid w:val="0033090B"/>
    <w:rsid w:val="00331796"/>
    <w:rsid w:val="0033189C"/>
    <w:rsid w:val="0033435E"/>
    <w:rsid w:val="00336352"/>
    <w:rsid w:val="00336C95"/>
    <w:rsid w:val="00336CF2"/>
    <w:rsid w:val="003403AE"/>
    <w:rsid w:val="0034173F"/>
    <w:rsid w:val="0034374B"/>
    <w:rsid w:val="00344B0A"/>
    <w:rsid w:val="00345227"/>
    <w:rsid w:val="0034580B"/>
    <w:rsid w:val="003463E4"/>
    <w:rsid w:val="00347A7C"/>
    <w:rsid w:val="00350A4B"/>
    <w:rsid w:val="00352BFE"/>
    <w:rsid w:val="00352D64"/>
    <w:rsid w:val="0035547C"/>
    <w:rsid w:val="0036204B"/>
    <w:rsid w:val="00364143"/>
    <w:rsid w:val="003720FF"/>
    <w:rsid w:val="00372487"/>
    <w:rsid w:val="0037249D"/>
    <w:rsid w:val="003730EF"/>
    <w:rsid w:val="00374019"/>
    <w:rsid w:val="0037552C"/>
    <w:rsid w:val="0037629E"/>
    <w:rsid w:val="00376B1F"/>
    <w:rsid w:val="00376DA1"/>
    <w:rsid w:val="0037719E"/>
    <w:rsid w:val="003774DB"/>
    <w:rsid w:val="00381B82"/>
    <w:rsid w:val="003918BC"/>
    <w:rsid w:val="00393247"/>
    <w:rsid w:val="00394CBE"/>
    <w:rsid w:val="00395015"/>
    <w:rsid w:val="003A08C5"/>
    <w:rsid w:val="003A0DA3"/>
    <w:rsid w:val="003A1150"/>
    <w:rsid w:val="003A2F94"/>
    <w:rsid w:val="003A3557"/>
    <w:rsid w:val="003A3D43"/>
    <w:rsid w:val="003A4649"/>
    <w:rsid w:val="003A5A98"/>
    <w:rsid w:val="003A5C51"/>
    <w:rsid w:val="003A5F89"/>
    <w:rsid w:val="003A6A2A"/>
    <w:rsid w:val="003A7454"/>
    <w:rsid w:val="003A7543"/>
    <w:rsid w:val="003A7AF2"/>
    <w:rsid w:val="003B14C2"/>
    <w:rsid w:val="003B1B5C"/>
    <w:rsid w:val="003B5817"/>
    <w:rsid w:val="003B6258"/>
    <w:rsid w:val="003B7680"/>
    <w:rsid w:val="003B7DDA"/>
    <w:rsid w:val="003C140C"/>
    <w:rsid w:val="003C1556"/>
    <w:rsid w:val="003C1C5D"/>
    <w:rsid w:val="003C2ADF"/>
    <w:rsid w:val="003C55F5"/>
    <w:rsid w:val="003D09AA"/>
    <w:rsid w:val="003D0A9B"/>
    <w:rsid w:val="003D2CE7"/>
    <w:rsid w:val="003D39E8"/>
    <w:rsid w:val="003D3D36"/>
    <w:rsid w:val="003D49F3"/>
    <w:rsid w:val="003D671A"/>
    <w:rsid w:val="003D7733"/>
    <w:rsid w:val="003E18A0"/>
    <w:rsid w:val="003E4E8C"/>
    <w:rsid w:val="003E71A4"/>
    <w:rsid w:val="003E725D"/>
    <w:rsid w:val="003E73A2"/>
    <w:rsid w:val="003E7E46"/>
    <w:rsid w:val="003F1487"/>
    <w:rsid w:val="003F1522"/>
    <w:rsid w:val="003F191A"/>
    <w:rsid w:val="003F2284"/>
    <w:rsid w:val="003F30D6"/>
    <w:rsid w:val="003F51AC"/>
    <w:rsid w:val="003F697E"/>
    <w:rsid w:val="003F754F"/>
    <w:rsid w:val="003F7F9E"/>
    <w:rsid w:val="00401545"/>
    <w:rsid w:val="0040175F"/>
    <w:rsid w:val="00402694"/>
    <w:rsid w:val="00403185"/>
    <w:rsid w:val="00403769"/>
    <w:rsid w:val="004057A7"/>
    <w:rsid w:val="00406447"/>
    <w:rsid w:val="004074EE"/>
    <w:rsid w:val="004077CE"/>
    <w:rsid w:val="00407B0C"/>
    <w:rsid w:val="0041098F"/>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6C2E"/>
    <w:rsid w:val="00426E11"/>
    <w:rsid w:val="00432CCD"/>
    <w:rsid w:val="00432CE1"/>
    <w:rsid w:val="00434E88"/>
    <w:rsid w:val="0043515D"/>
    <w:rsid w:val="0043751C"/>
    <w:rsid w:val="0043788C"/>
    <w:rsid w:val="0044062C"/>
    <w:rsid w:val="00440976"/>
    <w:rsid w:val="00440B9A"/>
    <w:rsid w:val="00441BCB"/>
    <w:rsid w:val="00442916"/>
    <w:rsid w:val="00442CDD"/>
    <w:rsid w:val="00445733"/>
    <w:rsid w:val="00445F25"/>
    <w:rsid w:val="00445FD8"/>
    <w:rsid w:val="00446BDF"/>
    <w:rsid w:val="00447C05"/>
    <w:rsid w:val="00450B6B"/>
    <w:rsid w:val="00450FA7"/>
    <w:rsid w:val="00451134"/>
    <w:rsid w:val="00451A3A"/>
    <w:rsid w:val="00455C91"/>
    <w:rsid w:val="00460946"/>
    <w:rsid w:val="004613B5"/>
    <w:rsid w:val="00462235"/>
    <w:rsid w:val="00462E26"/>
    <w:rsid w:val="004661AB"/>
    <w:rsid w:val="00467DCD"/>
    <w:rsid w:val="0047097D"/>
    <w:rsid w:val="00471BBC"/>
    <w:rsid w:val="00473C55"/>
    <w:rsid w:val="00473C8B"/>
    <w:rsid w:val="0047498D"/>
    <w:rsid w:val="00476802"/>
    <w:rsid w:val="00482878"/>
    <w:rsid w:val="0048287D"/>
    <w:rsid w:val="00483FEC"/>
    <w:rsid w:val="00484454"/>
    <w:rsid w:val="0048475F"/>
    <w:rsid w:val="00486D7A"/>
    <w:rsid w:val="00487465"/>
    <w:rsid w:val="00490393"/>
    <w:rsid w:val="00490729"/>
    <w:rsid w:val="00491971"/>
    <w:rsid w:val="0049285C"/>
    <w:rsid w:val="00492C1C"/>
    <w:rsid w:val="00494726"/>
    <w:rsid w:val="00497460"/>
    <w:rsid w:val="00497494"/>
    <w:rsid w:val="004976F2"/>
    <w:rsid w:val="004A4331"/>
    <w:rsid w:val="004A5FD9"/>
    <w:rsid w:val="004A6F87"/>
    <w:rsid w:val="004A7071"/>
    <w:rsid w:val="004B0216"/>
    <w:rsid w:val="004B10DE"/>
    <w:rsid w:val="004B1F8B"/>
    <w:rsid w:val="004B20F3"/>
    <w:rsid w:val="004B4803"/>
    <w:rsid w:val="004B4D17"/>
    <w:rsid w:val="004B5D94"/>
    <w:rsid w:val="004B64BB"/>
    <w:rsid w:val="004B6AA1"/>
    <w:rsid w:val="004B6D0B"/>
    <w:rsid w:val="004C38C3"/>
    <w:rsid w:val="004C563D"/>
    <w:rsid w:val="004C7383"/>
    <w:rsid w:val="004C74AF"/>
    <w:rsid w:val="004D1CEB"/>
    <w:rsid w:val="004D3EBD"/>
    <w:rsid w:val="004D6B9E"/>
    <w:rsid w:val="004D7F57"/>
    <w:rsid w:val="004E002D"/>
    <w:rsid w:val="004E135B"/>
    <w:rsid w:val="004E26A8"/>
    <w:rsid w:val="004E2910"/>
    <w:rsid w:val="004E35B6"/>
    <w:rsid w:val="004E4674"/>
    <w:rsid w:val="004E548A"/>
    <w:rsid w:val="004E58CD"/>
    <w:rsid w:val="004F1695"/>
    <w:rsid w:val="004F2666"/>
    <w:rsid w:val="004F2FC0"/>
    <w:rsid w:val="004F30D0"/>
    <w:rsid w:val="004F4433"/>
    <w:rsid w:val="004F4854"/>
    <w:rsid w:val="004F5E16"/>
    <w:rsid w:val="004F6067"/>
    <w:rsid w:val="004F62E1"/>
    <w:rsid w:val="004F748A"/>
    <w:rsid w:val="004F77DC"/>
    <w:rsid w:val="005009CD"/>
    <w:rsid w:val="0050109B"/>
    <w:rsid w:val="0050273A"/>
    <w:rsid w:val="00502FA5"/>
    <w:rsid w:val="00505243"/>
    <w:rsid w:val="00505A81"/>
    <w:rsid w:val="00505AC7"/>
    <w:rsid w:val="005073E2"/>
    <w:rsid w:val="00510DAC"/>
    <w:rsid w:val="00512446"/>
    <w:rsid w:val="00513A0A"/>
    <w:rsid w:val="00513AC0"/>
    <w:rsid w:val="00514C2F"/>
    <w:rsid w:val="0051522C"/>
    <w:rsid w:val="005169B9"/>
    <w:rsid w:val="00517069"/>
    <w:rsid w:val="00517B15"/>
    <w:rsid w:val="00521825"/>
    <w:rsid w:val="00521890"/>
    <w:rsid w:val="00522122"/>
    <w:rsid w:val="0052219A"/>
    <w:rsid w:val="00522CAB"/>
    <w:rsid w:val="005241C8"/>
    <w:rsid w:val="0052482C"/>
    <w:rsid w:val="0052557B"/>
    <w:rsid w:val="0052581A"/>
    <w:rsid w:val="005264B1"/>
    <w:rsid w:val="0052744F"/>
    <w:rsid w:val="0053262F"/>
    <w:rsid w:val="0053437C"/>
    <w:rsid w:val="00535F21"/>
    <w:rsid w:val="00536240"/>
    <w:rsid w:val="00542253"/>
    <w:rsid w:val="005422F1"/>
    <w:rsid w:val="00542513"/>
    <w:rsid w:val="005433FA"/>
    <w:rsid w:val="00543DD2"/>
    <w:rsid w:val="00545B4A"/>
    <w:rsid w:val="00545B6C"/>
    <w:rsid w:val="00550107"/>
    <w:rsid w:val="0055028B"/>
    <w:rsid w:val="005518EC"/>
    <w:rsid w:val="00551F07"/>
    <w:rsid w:val="00552732"/>
    <w:rsid w:val="005530F9"/>
    <w:rsid w:val="0055443F"/>
    <w:rsid w:val="005552F0"/>
    <w:rsid w:val="005557AD"/>
    <w:rsid w:val="00555E44"/>
    <w:rsid w:val="00560550"/>
    <w:rsid w:val="00560AE0"/>
    <w:rsid w:val="00566382"/>
    <w:rsid w:val="00566CF0"/>
    <w:rsid w:val="00567EBC"/>
    <w:rsid w:val="00571232"/>
    <w:rsid w:val="00571C2D"/>
    <w:rsid w:val="00574410"/>
    <w:rsid w:val="0057505D"/>
    <w:rsid w:val="00575222"/>
    <w:rsid w:val="00575E8D"/>
    <w:rsid w:val="00577A58"/>
    <w:rsid w:val="00583C42"/>
    <w:rsid w:val="005844D3"/>
    <w:rsid w:val="00584A8A"/>
    <w:rsid w:val="00585607"/>
    <w:rsid w:val="00585649"/>
    <w:rsid w:val="00585F15"/>
    <w:rsid w:val="005866CC"/>
    <w:rsid w:val="00590113"/>
    <w:rsid w:val="00590D0C"/>
    <w:rsid w:val="00591818"/>
    <w:rsid w:val="005924B1"/>
    <w:rsid w:val="00593412"/>
    <w:rsid w:val="0059394A"/>
    <w:rsid w:val="00593BA2"/>
    <w:rsid w:val="00594CE5"/>
    <w:rsid w:val="005950C4"/>
    <w:rsid w:val="00595911"/>
    <w:rsid w:val="005A10D4"/>
    <w:rsid w:val="005A31C5"/>
    <w:rsid w:val="005A6A0F"/>
    <w:rsid w:val="005A7BB0"/>
    <w:rsid w:val="005B0E5B"/>
    <w:rsid w:val="005B29B3"/>
    <w:rsid w:val="005B4B64"/>
    <w:rsid w:val="005B4F7A"/>
    <w:rsid w:val="005B7D46"/>
    <w:rsid w:val="005B7E9E"/>
    <w:rsid w:val="005C16E7"/>
    <w:rsid w:val="005C2CE4"/>
    <w:rsid w:val="005C3883"/>
    <w:rsid w:val="005C4135"/>
    <w:rsid w:val="005C4644"/>
    <w:rsid w:val="005C491F"/>
    <w:rsid w:val="005C56EF"/>
    <w:rsid w:val="005C65A3"/>
    <w:rsid w:val="005C67D0"/>
    <w:rsid w:val="005C70FE"/>
    <w:rsid w:val="005C7C29"/>
    <w:rsid w:val="005D02A3"/>
    <w:rsid w:val="005D0953"/>
    <w:rsid w:val="005D1894"/>
    <w:rsid w:val="005D23E3"/>
    <w:rsid w:val="005D2FD4"/>
    <w:rsid w:val="005D420E"/>
    <w:rsid w:val="005D4535"/>
    <w:rsid w:val="005D4EEC"/>
    <w:rsid w:val="005D6EA6"/>
    <w:rsid w:val="005E0137"/>
    <w:rsid w:val="005E02ED"/>
    <w:rsid w:val="005E1198"/>
    <w:rsid w:val="005E1856"/>
    <w:rsid w:val="005E1CEA"/>
    <w:rsid w:val="005E3A28"/>
    <w:rsid w:val="005E42AD"/>
    <w:rsid w:val="005E526D"/>
    <w:rsid w:val="005E5394"/>
    <w:rsid w:val="005E53F2"/>
    <w:rsid w:val="005E62AF"/>
    <w:rsid w:val="005E6CA0"/>
    <w:rsid w:val="005E6F22"/>
    <w:rsid w:val="005E727A"/>
    <w:rsid w:val="005F0FC3"/>
    <w:rsid w:val="005F185D"/>
    <w:rsid w:val="005F2971"/>
    <w:rsid w:val="005F2EF6"/>
    <w:rsid w:val="005F3716"/>
    <w:rsid w:val="005F7274"/>
    <w:rsid w:val="005F7968"/>
    <w:rsid w:val="00601420"/>
    <w:rsid w:val="00602B94"/>
    <w:rsid w:val="00602F9F"/>
    <w:rsid w:val="00603007"/>
    <w:rsid w:val="00603739"/>
    <w:rsid w:val="00603CCA"/>
    <w:rsid w:val="00606DFB"/>
    <w:rsid w:val="00610534"/>
    <w:rsid w:val="00610C2D"/>
    <w:rsid w:val="00613B6F"/>
    <w:rsid w:val="006147FD"/>
    <w:rsid w:val="00620158"/>
    <w:rsid w:val="00622F32"/>
    <w:rsid w:val="00625E30"/>
    <w:rsid w:val="00630BF2"/>
    <w:rsid w:val="00630C09"/>
    <w:rsid w:val="00630F30"/>
    <w:rsid w:val="00631229"/>
    <w:rsid w:val="00632508"/>
    <w:rsid w:val="006326B2"/>
    <w:rsid w:val="00632D0C"/>
    <w:rsid w:val="006339DA"/>
    <w:rsid w:val="00634217"/>
    <w:rsid w:val="006342AB"/>
    <w:rsid w:val="00634590"/>
    <w:rsid w:val="00634B5D"/>
    <w:rsid w:val="00634BF3"/>
    <w:rsid w:val="00640195"/>
    <w:rsid w:val="00640B92"/>
    <w:rsid w:val="006412E4"/>
    <w:rsid w:val="00641620"/>
    <w:rsid w:val="006428A9"/>
    <w:rsid w:val="00643F10"/>
    <w:rsid w:val="006449C9"/>
    <w:rsid w:val="00647526"/>
    <w:rsid w:val="00647B6C"/>
    <w:rsid w:val="0065004F"/>
    <w:rsid w:val="006506AD"/>
    <w:rsid w:val="00651606"/>
    <w:rsid w:val="006521F1"/>
    <w:rsid w:val="0065418C"/>
    <w:rsid w:val="0065535E"/>
    <w:rsid w:val="00655390"/>
    <w:rsid w:val="006556A8"/>
    <w:rsid w:val="006558C3"/>
    <w:rsid w:val="00655CFC"/>
    <w:rsid w:val="00656149"/>
    <w:rsid w:val="00656954"/>
    <w:rsid w:val="0065698D"/>
    <w:rsid w:val="00657C7A"/>
    <w:rsid w:val="0066119A"/>
    <w:rsid w:val="00661EA1"/>
    <w:rsid w:val="0066224B"/>
    <w:rsid w:val="006633B8"/>
    <w:rsid w:val="00663D90"/>
    <w:rsid w:val="00664529"/>
    <w:rsid w:val="00664EA0"/>
    <w:rsid w:val="0066634D"/>
    <w:rsid w:val="00666EB6"/>
    <w:rsid w:val="00667664"/>
    <w:rsid w:val="006677BB"/>
    <w:rsid w:val="006707D3"/>
    <w:rsid w:val="00671B09"/>
    <w:rsid w:val="006731F3"/>
    <w:rsid w:val="00673F23"/>
    <w:rsid w:val="00674BF4"/>
    <w:rsid w:val="006763E9"/>
    <w:rsid w:val="00682662"/>
    <w:rsid w:val="00685EC0"/>
    <w:rsid w:val="00686758"/>
    <w:rsid w:val="00690466"/>
    <w:rsid w:val="00691624"/>
    <w:rsid w:val="00691AA7"/>
    <w:rsid w:val="00695725"/>
    <w:rsid w:val="00695952"/>
    <w:rsid w:val="00695AB0"/>
    <w:rsid w:val="00696D19"/>
    <w:rsid w:val="00696FB2"/>
    <w:rsid w:val="006A00FE"/>
    <w:rsid w:val="006A024B"/>
    <w:rsid w:val="006A21D0"/>
    <w:rsid w:val="006A2E5B"/>
    <w:rsid w:val="006A3181"/>
    <w:rsid w:val="006A53D5"/>
    <w:rsid w:val="006A5ADC"/>
    <w:rsid w:val="006A6639"/>
    <w:rsid w:val="006B131B"/>
    <w:rsid w:val="006B2AE0"/>
    <w:rsid w:val="006B4112"/>
    <w:rsid w:val="006B4B67"/>
    <w:rsid w:val="006B5B69"/>
    <w:rsid w:val="006B5BD4"/>
    <w:rsid w:val="006B61A1"/>
    <w:rsid w:val="006B6B15"/>
    <w:rsid w:val="006B6DAF"/>
    <w:rsid w:val="006B7113"/>
    <w:rsid w:val="006B792C"/>
    <w:rsid w:val="006C0348"/>
    <w:rsid w:val="006C0BD1"/>
    <w:rsid w:val="006C0CCF"/>
    <w:rsid w:val="006C2F56"/>
    <w:rsid w:val="006C5E02"/>
    <w:rsid w:val="006C6376"/>
    <w:rsid w:val="006C7B62"/>
    <w:rsid w:val="006C7C34"/>
    <w:rsid w:val="006C7C53"/>
    <w:rsid w:val="006D116C"/>
    <w:rsid w:val="006D311D"/>
    <w:rsid w:val="006D5962"/>
    <w:rsid w:val="006D64B8"/>
    <w:rsid w:val="006D6B7F"/>
    <w:rsid w:val="006E27D1"/>
    <w:rsid w:val="006E2BC9"/>
    <w:rsid w:val="006E2D34"/>
    <w:rsid w:val="006E30F6"/>
    <w:rsid w:val="006E34BF"/>
    <w:rsid w:val="006E5655"/>
    <w:rsid w:val="006E6667"/>
    <w:rsid w:val="006E685F"/>
    <w:rsid w:val="006E6DF8"/>
    <w:rsid w:val="006E715D"/>
    <w:rsid w:val="006E7D43"/>
    <w:rsid w:val="006F0C0A"/>
    <w:rsid w:val="006F13FA"/>
    <w:rsid w:val="006F2478"/>
    <w:rsid w:val="006F30A0"/>
    <w:rsid w:val="00700F69"/>
    <w:rsid w:val="00701ACB"/>
    <w:rsid w:val="0070362A"/>
    <w:rsid w:val="00703CAD"/>
    <w:rsid w:val="0070422F"/>
    <w:rsid w:val="00704408"/>
    <w:rsid w:val="007045DE"/>
    <w:rsid w:val="00707399"/>
    <w:rsid w:val="007109E3"/>
    <w:rsid w:val="00712CDD"/>
    <w:rsid w:val="00712DC4"/>
    <w:rsid w:val="00714F63"/>
    <w:rsid w:val="0071555E"/>
    <w:rsid w:val="00715CF5"/>
    <w:rsid w:val="007176A0"/>
    <w:rsid w:val="00717D75"/>
    <w:rsid w:val="007215C8"/>
    <w:rsid w:val="007217DC"/>
    <w:rsid w:val="00722B3F"/>
    <w:rsid w:val="0072306B"/>
    <w:rsid w:val="007243BF"/>
    <w:rsid w:val="007249DD"/>
    <w:rsid w:val="00724F4A"/>
    <w:rsid w:val="00725A44"/>
    <w:rsid w:val="007269ED"/>
    <w:rsid w:val="007271FC"/>
    <w:rsid w:val="007301F6"/>
    <w:rsid w:val="00730790"/>
    <w:rsid w:val="0073304A"/>
    <w:rsid w:val="007343CC"/>
    <w:rsid w:val="0073528B"/>
    <w:rsid w:val="00735442"/>
    <w:rsid w:val="007362E7"/>
    <w:rsid w:val="007370C2"/>
    <w:rsid w:val="00740114"/>
    <w:rsid w:val="007408D3"/>
    <w:rsid w:val="00743D66"/>
    <w:rsid w:val="00743DDA"/>
    <w:rsid w:val="00745917"/>
    <w:rsid w:val="00747766"/>
    <w:rsid w:val="00750D3B"/>
    <w:rsid w:val="0075383D"/>
    <w:rsid w:val="00755199"/>
    <w:rsid w:val="00755B71"/>
    <w:rsid w:val="00762416"/>
    <w:rsid w:val="00764CCE"/>
    <w:rsid w:val="007668C6"/>
    <w:rsid w:val="00767213"/>
    <w:rsid w:val="00771A3F"/>
    <w:rsid w:val="007738E2"/>
    <w:rsid w:val="00773DC4"/>
    <w:rsid w:val="0077438C"/>
    <w:rsid w:val="00774B00"/>
    <w:rsid w:val="007761C1"/>
    <w:rsid w:val="00776F25"/>
    <w:rsid w:val="00777E6D"/>
    <w:rsid w:val="00782D8E"/>
    <w:rsid w:val="007833B1"/>
    <w:rsid w:val="007837C7"/>
    <w:rsid w:val="00787E14"/>
    <w:rsid w:val="0079291B"/>
    <w:rsid w:val="00793380"/>
    <w:rsid w:val="007935D9"/>
    <w:rsid w:val="0079759A"/>
    <w:rsid w:val="00797A8E"/>
    <w:rsid w:val="00797CEE"/>
    <w:rsid w:val="00797FDB"/>
    <w:rsid w:val="007A333A"/>
    <w:rsid w:val="007A43D0"/>
    <w:rsid w:val="007A4A67"/>
    <w:rsid w:val="007A4B23"/>
    <w:rsid w:val="007A4ED5"/>
    <w:rsid w:val="007A5A15"/>
    <w:rsid w:val="007A6EAC"/>
    <w:rsid w:val="007A7BC5"/>
    <w:rsid w:val="007A7D3A"/>
    <w:rsid w:val="007B01B4"/>
    <w:rsid w:val="007B0475"/>
    <w:rsid w:val="007B098F"/>
    <w:rsid w:val="007B11D7"/>
    <w:rsid w:val="007B149C"/>
    <w:rsid w:val="007B1E63"/>
    <w:rsid w:val="007B4B42"/>
    <w:rsid w:val="007B4DAD"/>
    <w:rsid w:val="007B52E9"/>
    <w:rsid w:val="007B76BE"/>
    <w:rsid w:val="007C08D0"/>
    <w:rsid w:val="007C0B18"/>
    <w:rsid w:val="007C10AB"/>
    <w:rsid w:val="007C12CF"/>
    <w:rsid w:val="007C2EF2"/>
    <w:rsid w:val="007C3BC8"/>
    <w:rsid w:val="007C3E88"/>
    <w:rsid w:val="007C4779"/>
    <w:rsid w:val="007C51DD"/>
    <w:rsid w:val="007C52AF"/>
    <w:rsid w:val="007C5817"/>
    <w:rsid w:val="007C5AA7"/>
    <w:rsid w:val="007C664D"/>
    <w:rsid w:val="007C7CA7"/>
    <w:rsid w:val="007D08CD"/>
    <w:rsid w:val="007D27CA"/>
    <w:rsid w:val="007D4338"/>
    <w:rsid w:val="007D5670"/>
    <w:rsid w:val="007D6566"/>
    <w:rsid w:val="007E0620"/>
    <w:rsid w:val="007E07C1"/>
    <w:rsid w:val="007E0821"/>
    <w:rsid w:val="007E264A"/>
    <w:rsid w:val="007E2E1A"/>
    <w:rsid w:val="007E40BD"/>
    <w:rsid w:val="007E4181"/>
    <w:rsid w:val="007E4883"/>
    <w:rsid w:val="007E5354"/>
    <w:rsid w:val="007E5811"/>
    <w:rsid w:val="007F20CE"/>
    <w:rsid w:val="007F3AA8"/>
    <w:rsid w:val="007F4DC3"/>
    <w:rsid w:val="007F56BE"/>
    <w:rsid w:val="007F5905"/>
    <w:rsid w:val="007F6089"/>
    <w:rsid w:val="007F66A8"/>
    <w:rsid w:val="007F72E1"/>
    <w:rsid w:val="0080007F"/>
    <w:rsid w:val="0080148C"/>
    <w:rsid w:val="008016A0"/>
    <w:rsid w:val="00805A73"/>
    <w:rsid w:val="00805A8C"/>
    <w:rsid w:val="00805BED"/>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29BA"/>
    <w:rsid w:val="00824E74"/>
    <w:rsid w:val="00825DCB"/>
    <w:rsid w:val="00826C43"/>
    <w:rsid w:val="00830043"/>
    <w:rsid w:val="0083200A"/>
    <w:rsid w:val="00832A95"/>
    <w:rsid w:val="00834DE3"/>
    <w:rsid w:val="00836E05"/>
    <w:rsid w:val="00837349"/>
    <w:rsid w:val="00840DA6"/>
    <w:rsid w:val="00840FE0"/>
    <w:rsid w:val="00842FC0"/>
    <w:rsid w:val="008440E1"/>
    <w:rsid w:val="00845C1D"/>
    <w:rsid w:val="008473EF"/>
    <w:rsid w:val="00847D2F"/>
    <w:rsid w:val="00852D44"/>
    <w:rsid w:val="00852FFD"/>
    <w:rsid w:val="008538A4"/>
    <w:rsid w:val="008538C9"/>
    <w:rsid w:val="00853A0D"/>
    <w:rsid w:val="008576A8"/>
    <w:rsid w:val="00857B49"/>
    <w:rsid w:val="00860518"/>
    <w:rsid w:val="008636D7"/>
    <w:rsid w:val="00864238"/>
    <w:rsid w:val="00865AAD"/>
    <w:rsid w:val="00866C88"/>
    <w:rsid w:val="00870814"/>
    <w:rsid w:val="00872F8D"/>
    <w:rsid w:val="008736A2"/>
    <w:rsid w:val="00873CCF"/>
    <w:rsid w:val="0087452F"/>
    <w:rsid w:val="00874AE9"/>
    <w:rsid w:val="00874E00"/>
    <w:rsid w:val="008751B4"/>
    <w:rsid w:val="00876ABB"/>
    <w:rsid w:val="008773CE"/>
    <w:rsid w:val="00877E78"/>
    <w:rsid w:val="00877F8B"/>
    <w:rsid w:val="008811F0"/>
    <w:rsid w:val="00881B31"/>
    <w:rsid w:val="00884122"/>
    <w:rsid w:val="00884D4C"/>
    <w:rsid w:val="00885793"/>
    <w:rsid w:val="00886A65"/>
    <w:rsid w:val="008874CE"/>
    <w:rsid w:val="00887CFE"/>
    <w:rsid w:val="00890696"/>
    <w:rsid w:val="00892BE1"/>
    <w:rsid w:val="00892FED"/>
    <w:rsid w:val="0089369E"/>
    <w:rsid w:val="0089383E"/>
    <w:rsid w:val="00895B54"/>
    <w:rsid w:val="0089695F"/>
    <w:rsid w:val="008A1CC3"/>
    <w:rsid w:val="008A20AE"/>
    <w:rsid w:val="008A546C"/>
    <w:rsid w:val="008A5FA3"/>
    <w:rsid w:val="008A742B"/>
    <w:rsid w:val="008B1A06"/>
    <w:rsid w:val="008B36BD"/>
    <w:rsid w:val="008B760C"/>
    <w:rsid w:val="008C0084"/>
    <w:rsid w:val="008C029B"/>
    <w:rsid w:val="008C1785"/>
    <w:rsid w:val="008C1C52"/>
    <w:rsid w:val="008C226A"/>
    <w:rsid w:val="008C3CEF"/>
    <w:rsid w:val="008C3DE9"/>
    <w:rsid w:val="008C428E"/>
    <w:rsid w:val="008C48B7"/>
    <w:rsid w:val="008C5CEA"/>
    <w:rsid w:val="008C5D0F"/>
    <w:rsid w:val="008C73BF"/>
    <w:rsid w:val="008C7C5A"/>
    <w:rsid w:val="008D0073"/>
    <w:rsid w:val="008D0D01"/>
    <w:rsid w:val="008D0ECB"/>
    <w:rsid w:val="008D1C2A"/>
    <w:rsid w:val="008D29D3"/>
    <w:rsid w:val="008D3AD0"/>
    <w:rsid w:val="008D511C"/>
    <w:rsid w:val="008D5859"/>
    <w:rsid w:val="008D67C1"/>
    <w:rsid w:val="008D697E"/>
    <w:rsid w:val="008D7C9A"/>
    <w:rsid w:val="008E0B00"/>
    <w:rsid w:val="008E0C62"/>
    <w:rsid w:val="008E1744"/>
    <w:rsid w:val="008E2066"/>
    <w:rsid w:val="008E2459"/>
    <w:rsid w:val="008E474E"/>
    <w:rsid w:val="008E5D34"/>
    <w:rsid w:val="008E609D"/>
    <w:rsid w:val="008E6A15"/>
    <w:rsid w:val="008E78DC"/>
    <w:rsid w:val="008F309A"/>
    <w:rsid w:val="008F562F"/>
    <w:rsid w:val="008F6158"/>
    <w:rsid w:val="008F6241"/>
    <w:rsid w:val="008F665C"/>
    <w:rsid w:val="008F7D64"/>
    <w:rsid w:val="0090043B"/>
    <w:rsid w:val="00900DE5"/>
    <w:rsid w:val="009015F5"/>
    <w:rsid w:val="009030B1"/>
    <w:rsid w:val="009050ED"/>
    <w:rsid w:val="0091186F"/>
    <w:rsid w:val="009136CB"/>
    <w:rsid w:val="00913C74"/>
    <w:rsid w:val="00914326"/>
    <w:rsid w:val="00914400"/>
    <w:rsid w:val="0091589E"/>
    <w:rsid w:val="009159A6"/>
    <w:rsid w:val="00920727"/>
    <w:rsid w:val="009216EB"/>
    <w:rsid w:val="00921AF7"/>
    <w:rsid w:val="009232FA"/>
    <w:rsid w:val="00923F97"/>
    <w:rsid w:val="0092475F"/>
    <w:rsid w:val="009256FB"/>
    <w:rsid w:val="009260D7"/>
    <w:rsid w:val="00926CC2"/>
    <w:rsid w:val="00926EB4"/>
    <w:rsid w:val="009300B3"/>
    <w:rsid w:val="00930E7A"/>
    <w:rsid w:val="0093141D"/>
    <w:rsid w:val="00931710"/>
    <w:rsid w:val="00931F9D"/>
    <w:rsid w:val="00933C1A"/>
    <w:rsid w:val="00934F7F"/>
    <w:rsid w:val="009350CE"/>
    <w:rsid w:val="0093556C"/>
    <w:rsid w:val="00935645"/>
    <w:rsid w:val="0094266F"/>
    <w:rsid w:val="00943792"/>
    <w:rsid w:val="00943939"/>
    <w:rsid w:val="00946BC1"/>
    <w:rsid w:val="00947BB6"/>
    <w:rsid w:val="00950C93"/>
    <w:rsid w:val="009513C8"/>
    <w:rsid w:val="009518A0"/>
    <w:rsid w:val="0095458B"/>
    <w:rsid w:val="00954629"/>
    <w:rsid w:val="00954AEC"/>
    <w:rsid w:val="00955B10"/>
    <w:rsid w:val="00962D9E"/>
    <w:rsid w:val="009632A1"/>
    <w:rsid w:val="00965FE1"/>
    <w:rsid w:val="009661B0"/>
    <w:rsid w:val="00966569"/>
    <w:rsid w:val="009669EC"/>
    <w:rsid w:val="00966E54"/>
    <w:rsid w:val="00967977"/>
    <w:rsid w:val="00967CC9"/>
    <w:rsid w:val="00972AAC"/>
    <w:rsid w:val="009732A6"/>
    <w:rsid w:val="009738A4"/>
    <w:rsid w:val="00975516"/>
    <w:rsid w:val="00976831"/>
    <w:rsid w:val="00977413"/>
    <w:rsid w:val="00977BBB"/>
    <w:rsid w:val="00981393"/>
    <w:rsid w:val="00982D5B"/>
    <w:rsid w:val="009831C3"/>
    <w:rsid w:val="00983CA1"/>
    <w:rsid w:val="00983DCA"/>
    <w:rsid w:val="00984044"/>
    <w:rsid w:val="00985517"/>
    <w:rsid w:val="00985612"/>
    <w:rsid w:val="0098590F"/>
    <w:rsid w:val="009864CF"/>
    <w:rsid w:val="00987BE5"/>
    <w:rsid w:val="0099004F"/>
    <w:rsid w:val="009903FD"/>
    <w:rsid w:val="00990A37"/>
    <w:rsid w:val="00991197"/>
    <w:rsid w:val="00993BF1"/>
    <w:rsid w:val="0099475D"/>
    <w:rsid w:val="00994ED0"/>
    <w:rsid w:val="00995E00"/>
    <w:rsid w:val="009A0654"/>
    <w:rsid w:val="009A0FBB"/>
    <w:rsid w:val="009A0FD5"/>
    <w:rsid w:val="009A1D3F"/>
    <w:rsid w:val="009A48C4"/>
    <w:rsid w:val="009A4E90"/>
    <w:rsid w:val="009A755F"/>
    <w:rsid w:val="009B0B79"/>
    <w:rsid w:val="009B4C82"/>
    <w:rsid w:val="009B5BFC"/>
    <w:rsid w:val="009B7330"/>
    <w:rsid w:val="009B7B47"/>
    <w:rsid w:val="009C09A8"/>
    <w:rsid w:val="009C0ACC"/>
    <w:rsid w:val="009C278A"/>
    <w:rsid w:val="009C38E7"/>
    <w:rsid w:val="009C4F22"/>
    <w:rsid w:val="009C59DE"/>
    <w:rsid w:val="009C6C6E"/>
    <w:rsid w:val="009C6E39"/>
    <w:rsid w:val="009C78F6"/>
    <w:rsid w:val="009D1012"/>
    <w:rsid w:val="009D11CF"/>
    <w:rsid w:val="009D1603"/>
    <w:rsid w:val="009D1710"/>
    <w:rsid w:val="009D3A8A"/>
    <w:rsid w:val="009D3CC2"/>
    <w:rsid w:val="009D5DB8"/>
    <w:rsid w:val="009D6008"/>
    <w:rsid w:val="009D725A"/>
    <w:rsid w:val="009E07EB"/>
    <w:rsid w:val="009E1772"/>
    <w:rsid w:val="009E1C2B"/>
    <w:rsid w:val="009E3978"/>
    <w:rsid w:val="009E5799"/>
    <w:rsid w:val="009E658A"/>
    <w:rsid w:val="009E7C72"/>
    <w:rsid w:val="009E7CCE"/>
    <w:rsid w:val="009F0915"/>
    <w:rsid w:val="009F126B"/>
    <w:rsid w:val="009F139E"/>
    <w:rsid w:val="009F2321"/>
    <w:rsid w:val="009F3988"/>
    <w:rsid w:val="009F39DC"/>
    <w:rsid w:val="009F567F"/>
    <w:rsid w:val="009F71CD"/>
    <w:rsid w:val="009F7419"/>
    <w:rsid w:val="009F751D"/>
    <w:rsid w:val="009F765E"/>
    <w:rsid w:val="00A00775"/>
    <w:rsid w:val="00A01136"/>
    <w:rsid w:val="00A011E3"/>
    <w:rsid w:val="00A04AFF"/>
    <w:rsid w:val="00A05082"/>
    <w:rsid w:val="00A07468"/>
    <w:rsid w:val="00A0750D"/>
    <w:rsid w:val="00A07A5F"/>
    <w:rsid w:val="00A100E2"/>
    <w:rsid w:val="00A1076B"/>
    <w:rsid w:val="00A10B08"/>
    <w:rsid w:val="00A11091"/>
    <w:rsid w:val="00A11F90"/>
    <w:rsid w:val="00A128F5"/>
    <w:rsid w:val="00A15FFB"/>
    <w:rsid w:val="00A172D8"/>
    <w:rsid w:val="00A20E3A"/>
    <w:rsid w:val="00A22EF1"/>
    <w:rsid w:val="00A23C8C"/>
    <w:rsid w:val="00A23FE4"/>
    <w:rsid w:val="00A24190"/>
    <w:rsid w:val="00A24FF6"/>
    <w:rsid w:val="00A257D2"/>
    <w:rsid w:val="00A25AC1"/>
    <w:rsid w:val="00A25B6D"/>
    <w:rsid w:val="00A25C51"/>
    <w:rsid w:val="00A261B9"/>
    <w:rsid w:val="00A26213"/>
    <w:rsid w:val="00A266F3"/>
    <w:rsid w:val="00A27224"/>
    <w:rsid w:val="00A3140D"/>
    <w:rsid w:val="00A31CC5"/>
    <w:rsid w:val="00A32754"/>
    <w:rsid w:val="00A3289E"/>
    <w:rsid w:val="00A32DDA"/>
    <w:rsid w:val="00A34EF8"/>
    <w:rsid w:val="00A352A5"/>
    <w:rsid w:val="00A3705E"/>
    <w:rsid w:val="00A37342"/>
    <w:rsid w:val="00A415F5"/>
    <w:rsid w:val="00A42B69"/>
    <w:rsid w:val="00A42C6A"/>
    <w:rsid w:val="00A42EFB"/>
    <w:rsid w:val="00A44966"/>
    <w:rsid w:val="00A449B8"/>
    <w:rsid w:val="00A452C0"/>
    <w:rsid w:val="00A46FE8"/>
    <w:rsid w:val="00A50249"/>
    <w:rsid w:val="00A51688"/>
    <w:rsid w:val="00A51B8D"/>
    <w:rsid w:val="00A54A0E"/>
    <w:rsid w:val="00A557CB"/>
    <w:rsid w:val="00A563DD"/>
    <w:rsid w:val="00A57FD4"/>
    <w:rsid w:val="00A60281"/>
    <w:rsid w:val="00A60877"/>
    <w:rsid w:val="00A611FD"/>
    <w:rsid w:val="00A612B3"/>
    <w:rsid w:val="00A61A6E"/>
    <w:rsid w:val="00A61D5E"/>
    <w:rsid w:val="00A62738"/>
    <w:rsid w:val="00A62EBA"/>
    <w:rsid w:val="00A643AC"/>
    <w:rsid w:val="00A64957"/>
    <w:rsid w:val="00A6560C"/>
    <w:rsid w:val="00A67B53"/>
    <w:rsid w:val="00A67E4B"/>
    <w:rsid w:val="00A70266"/>
    <w:rsid w:val="00A70D86"/>
    <w:rsid w:val="00A73586"/>
    <w:rsid w:val="00A750A2"/>
    <w:rsid w:val="00A7584A"/>
    <w:rsid w:val="00A7597B"/>
    <w:rsid w:val="00A75AB6"/>
    <w:rsid w:val="00A75D8C"/>
    <w:rsid w:val="00A7695D"/>
    <w:rsid w:val="00A769F6"/>
    <w:rsid w:val="00A77D50"/>
    <w:rsid w:val="00A77F97"/>
    <w:rsid w:val="00A81D56"/>
    <w:rsid w:val="00A8247A"/>
    <w:rsid w:val="00A82C24"/>
    <w:rsid w:val="00A82CBA"/>
    <w:rsid w:val="00A83EAE"/>
    <w:rsid w:val="00A8485B"/>
    <w:rsid w:val="00A84F45"/>
    <w:rsid w:val="00A87D00"/>
    <w:rsid w:val="00A90971"/>
    <w:rsid w:val="00A90E57"/>
    <w:rsid w:val="00A91674"/>
    <w:rsid w:val="00A91FE6"/>
    <w:rsid w:val="00A92227"/>
    <w:rsid w:val="00A92D3A"/>
    <w:rsid w:val="00A93418"/>
    <w:rsid w:val="00A95439"/>
    <w:rsid w:val="00A967FF"/>
    <w:rsid w:val="00A9761D"/>
    <w:rsid w:val="00A97F45"/>
    <w:rsid w:val="00AA2AA6"/>
    <w:rsid w:val="00AA36EE"/>
    <w:rsid w:val="00AA40CA"/>
    <w:rsid w:val="00AA4825"/>
    <w:rsid w:val="00AA4A59"/>
    <w:rsid w:val="00AA5D8E"/>
    <w:rsid w:val="00AA61B3"/>
    <w:rsid w:val="00AA6442"/>
    <w:rsid w:val="00AA71E3"/>
    <w:rsid w:val="00AA7495"/>
    <w:rsid w:val="00AB1CBA"/>
    <w:rsid w:val="00AB25C6"/>
    <w:rsid w:val="00AB2EFC"/>
    <w:rsid w:val="00AB3358"/>
    <w:rsid w:val="00AB5F1A"/>
    <w:rsid w:val="00AB67C7"/>
    <w:rsid w:val="00AB6F51"/>
    <w:rsid w:val="00AB701F"/>
    <w:rsid w:val="00AB7414"/>
    <w:rsid w:val="00AB7D49"/>
    <w:rsid w:val="00AC0565"/>
    <w:rsid w:val="00AC0DAF"/>
    <w:rsid w:val="00AC12D5"/>
    <w:rsid w:val="00AC3419"/>
    <w:rsid w:val="00AC436D"/>
    <w:rsid w:val="00AC457C"/>
    <w:rsid w:val="00AC6102"/>
    <w:rsid w:val="00AC644A"/>
    <w:rsid w:val="00AC7CF7"/>
    <w:rsid w:val="00AD1ABD"/>
    <w:rsid w:val="00AD36A2"/>
    <w:rsid w:val="00AD3C9F"/>
    <w:rsid w:val="00AD4D2D"/>
    <w:rsid w:val="00AD4FA5"/>
    <w:rsid w:val="00AD5CB2"/>
    <w:rsid w:val="00AD7059"/>
    <w:rsid w:val="00AD7D54"/>
    <w:rsid w:val="00AE052B"/>
    <w:rsid w:val="00AE0F5E"/>
    <w:rsid w:val="00AE1D38"/>
    <w:rsid w:val="00AE55BF"/>
    <w:rsid w:val="00AE57F7"/>
    <w:rsid w:val="00AE6C7E"/>
    <w:rsid w:val="00AF03CE"/>
    <w:rsid w:val="00AF09E8"/>
    <w:rsid w:val="00AF188F"/>
    <w:rsid w:val="00AF5A2F"/>
    <w:rsid w:val="00AF5EB7"/>
    <w:rsid w:val="00AF6208"/>
    <w:rsid w:val="00AF62A2"/>
    <w:rsid w:val="00AF6E31"/>
    <w:rsid w:val="00B00B08"/>
    <w:rsid w:val="00B00F84"/>
    <w:rsid w:val="00B01B12"/>
    <w:rsid w:val="00B01DB9"/>
    <w:rsid w:val="00B02310"/>
    <w:rsid w:val="00B03B27"/>
    <w:rsid w:val="00B04F39"/>
    <w:rsid w:val="00B05187"/>
    <w:rsid w:val="00B05460"/>
    <w:rsid w:val="00B13B51"/>
    <w:rsid w:val="00B157FF"/>
    <w:rsid w:val="00B15FE8"/>
    <w:rsid w:val="00B175B6"/>
    <w:rsid w:val="00B20B97"/>
    <w:rsid w:val="00B21AD8"/>
    <w:rsid w:val="00B250D5"/>
    <w:rsid w:val="00B2613E"/>
    <w:rsid w:val="00B26CFB"/>
    <w:rsid w:val="00B27348"/>
    <w:rsid w:val="00B2766C"/>
    <w:rsid w:val="00B30CDE"/>
    <w:rsid w:val="00B31354"/>
    <w:rsid w:val="00B32D49"/>
    <w:rsid w:val="00B370EB"/>
    <w:rsid w:val="00B40385"/>
    <w:rsid w:val="00B42CE6"/>
    <w:rsid w:val="00B442F3"/>
    <w:rsid w:val="00B4464E"/>
    <w:rsid w:val="00B44CFE"/>
    <w:rsid w:val="00B45261"/>
    <w:rsid w:val="00B45514"/>
    <w:rsid w:val="00B46189"/>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53C0"/>
    <w:rsid w:val="00B6685F"/>
    <w:rsid w:val="00B701C2"/>
    <w:rsid w:val="00B70301"/>
    <w:rsid w:val="00B71D9F"/>
    <w:rsid w:val="00B7349E"/>
    <w:rsid w:val="00B737FA"/>
    <w:rsid w:val="00B73D08"/>
    <w:rsid w:val="00B74D95"/>
    <w:rsid w:val="00B77417"/>
    <w:rsid w:val="00B822BC"/>
    <w:rsid w:val="00B8261F"/>
    <w:rsid w:val="00B843DF"/>
    <w:rsid w:val="00B90BC5"/>
    <w:rsid w:val="00B92443"/>
    <w:rsid w:val="00B92FD5"/>
    <w:rsid w:val="00B93D2C"/>
    <w:rsid w:val="00B94AB5"/>
    <w:rsid w:val="00B9551B"/>
    <w:rsid w:val="00B95AFF"/>
    <w:rsid w:val="00B95CD3"/>
    <w:rsid w:val="00B96043"/>
    <w:rsid w:val="00B967C2"/>
    <w:rsid w:val="00B968DE"/>
    <w:rsid w:val="00BA13AB"/>
    <w:rsid w:val="00BA14E4"/>
    <w:rsid w:val="00BA1E62"/>
    <w:rsid w:val="00BA2CC8"/>
    <w:rsid w:val="00BA39F1"/>
    <w:rsid w:val="00BA62F3"/>
    <w:rsid w:val="00BA633E"/>
    <w:rsid w:val="00BA7377"/>
    <w:rsid w:val="00BB0662"/>
    <w:rsid w:val="00BB0A02"/>
    <w:rsid w:val="00BB219D"/>
    <w:rsid w:val="00BB2EF9"/>
    <w:rsid w:val="00BB33CB"/>
    <w:rsid w:val="00BB382E"/>
    <w:rsid w:val="00BB39E9"/>
    <w:rsid w:val="00BB3AFD"/>
    <w:rsid w:val="00BB5F55"/>
    <w:rsid w:val="00BB7767"/>
    <w:rsid w:val="00BC02B0"/>
    <w:rsid w:val="00BC068F"/>
    <w:rsid w:val="00BC1852"/>
    <w:rsid w:val="00BC263B"/>
    <w:rsid w:val="00BC51E7"/>
    <w:rsid w:val="00BC65FC"/>
    <w:rsid w:val="00BC740F"/>
    <w:rsid w:val="00BD0353"/>
    <w:rsid w:val="00BD0CC3"/>
    <w:rsid w:val="00BD12AC"/>
    <w:rsid w:val="00BD2231"/>
    <w:rsid w:val="00BD34F9"/>
    <w:rsid w:val="00BD3AA3"/>
    <w:rsid w:val="00BD3E2D"/>
    <w:rsid w:val="00BD57B1"/>
    <w:rsid w:val="00BD58AF"/>
    <w:rsid w:val="00BD5D20"/>
    <w:rsid w:val="00BD64D2"/>
    <w:rsid w:val="00BD76DB"/>
    <w:rsid w:val="00BD777E"/>
    <w:rsid w:val="00BE2D62"/>
    <w:rsid w:val="00BE2EB1"/>
    <w:rsid w:val="00BE31C9"/>
    <w:rsid w:val="00BE4B38"/>
    <w:rsid w:val="00BE4D1B"/>
    <w:rsid w:val="00BE590C"/>
    <w:rsid w:val="00BF1ABD"/>
    <w:rsid w:val="00BF30EF"/>
    <w:rsid w:val="00BF64EB"/>
    <w:rsid w:val="00BF7079"/>
    <w:rsid w:val="00BF7156"/>
    <w:rsid w:val="00BF7D26"/>
    <w:rsid w:val="00C0002E"/>
    <w:rsid w:val="00C01B9E"/>
    <w:rsid w:val="00C0275B"/>
    <w:rsid w:val="00C02D53"/>
    <w:rsid w:val="00C0320B"/>
    <w:rsid w:val="00C0484F"/>
    <w:rsid w:val="00C04BF5"/>
    <w:rsid w:val="00C04DC6"/>
    <w:rsid w:val="00C05DF4"/>
    <w:rsid w:val="00C06C4D"/>
    <w:rsid w:val="00C06D25"/>
    <w:rsid w:val="00C10618"/>
    <w:rsid w:val="00C126DD"/>
    <w:rsid w:val="00C138A0"/>
    <w:rsid w:val="00C145B6"/>
    <w:rsid w:val="00C172AC"/>
    <w:rsid w:val="00C20CA4"/>
    <w:rsid w:val="00C20DA7"/>
    <w:rsid w:val="00C23E4D"/>
    <w:rsid w:val="00C2424D"/>
    <w:rsid w:val="00C24E69"/>
    <w:rsid w:val="00C26256"/>
    <w:rsid w:val="00C26D57"/>
    <w:rsid w:val="00C30004"/>
    <w:rsid w:val="00C32E6B"/>
    <w:rsid w:val="00C333A5"/>
    <w:rsid w:val="00C33884"/>
    <w:rsid w:val="00C338CC"/>
    <w:rsid w:val="00C347BA"/>
    <w:rsid w:val="00C34966"/>
    <w:rsid w:val="00C35252"/>
    <w:rsid w:val="00C353CA"/>
    <w:rsid w:val="00C36192"/>
    <w:rsid w:val="00C36420"/>
    <w:rsid w:val="00C3671F"/>
    <w:rsid w:val="00C36C06"/>
    <w:rsid w:val="00C37846"/>
    <w:rsid w:val="00C37B4A"/>
    <w:rsid w:val="00C40CC6"/>
    <w:rsid w:val="00C40F49"/>
    <w:rsid w:val="00C41466"/>
    <w:rsid w:val="00C437F8"/>
    <w:rsid w:val="00C4384B"/>
    <w:rsid w:val="00C448E8"/>
    <w:rsid w:val="00C45330"/>
    <w:rsid w:val="00C46DE8"/>
    <w:rsid w:val="00C472E8"/>
    <w:rsid w:val="00C479AB"/>
    <w:rsid w:val="00C51B6E"/>
    <w:rsid w:val="00C533D1"/>
    <w:rsid w:val="00C55325"/>
    <w:rsid w:val="00C55674"/>
    <w:rsid w:val="00C5569B"/>
    <w:rsid w:val="00C56C29"/>
    <w:rsid w:val="00C57488"/>
    <w:rsid w:val="00C5788F"/>
    <w:rsid w:val="00C603C4"/>
    <w:rsid w:val="00C61401"/>
    <w:rsid w:val="00C630FC"/>
    <w:rsid w:val="00C631E3"/>
    <w:rsid w:val="00C633E1"/>
    <w:rsid w:val="00C64B7B"/>
    <w:rsid w:val="00C64E63"/>
    <w:rsid w:val="00C669E7"/>
    <w:rsid w:val="00C67066"/>
    <w:rsid w:val="00C73834"/>
    <w:rsid w:val="00C7413F"/>
    <w:rsid w:val="00C7458B"/>
    <w:rsid w:val="00C74C29"/>
    <w:rsid w:val="00C7694B"/>
    <w:rsid w:val="00C800BD"/>
    <w:rsid w:val="00C80300"/>
    <w:rsid w:val="00C81C81"/>
    <w:rsid w:val="00C81E71"/>
    <w:rsid w:val="00C827E0"/>
    <w:rsid w:val="00C840DF"/>
    <w:rsid w:val="00C85031"/>
    <w:rsid w:val="00C8554D"/>
    <w:rsid w:val="00C875DA"/>
    <w:rsid w:val="00C9156C"/>
    <w:rsid w:val="00C91D2F"/>
    <w:rsid w:val="00C953B2"/>
    <w:rsid w:val="00C96A72"/>
    <w:rsid w:val="00C9729B"/>
    <w:rsid w:val="00C97CA7"/>
    <w:rsid w:val="00CA1C76"/>
    <w:rsid w:val="00CA2090"/>
    <w:rsid w:val="00CA280A"/>
    <w:rsid w:val="00CA291B"/>
    <w:rsid w:val="00CA315B"/>
    <w:rsid w:val="00CA3387"/>
    <w:rsid w:val="00CA3FB1"/>
    <w:rsid w:val="00CA43CA"/>
    <w:rsid w:val="00CB0FDB"/>
    <w:rsid w:val="00CB1753"/>
    <w:rsid w:val="00CB2D35"/>
    <w:rsid w:val="00CB30B1"/>
    <w:rsid w:val="00CB3C46"/>
    <w:rsid w:val="00CB483B"/>
    <w:rsid w:val="00CB4AE6"/>
    <w:rsid w:val="00CB562F"/>
    <w:rsid w:val="00CC00D8"/>
    <w:rsid w:val="00CC1F1A"/>
    <w:rsid w:val="00CC2C63"/>
    <w:rsid w:val="00CC308A"/>
    <w:rsid w:val="00CC32A6"/>
    <w:rsid w:val="00CC3A6C"/>
    <w:rsid w:val="00CC51F7"/>
    <w:rsid w:val="00CC5B6C"/>
    <w:rsid w:val="00CC5C27"/>
    <w:rsid w:val="00CC60C0"/>
    <w:rsid w:val="00CC7A01"/>
    <w:rsid w:val="00CD0148"/>
    <w:rsid w:val="00CD2FF4"/>
    <w:rsid w:val="00CD42A9"/>
    <w:rsid w:val="00CD51AF"/>
    <w:rsid w:val="00CD67B3"/>
    <w:rsid w:val="00CE0F45"/>
    <w:rsid w:val="00CE1542"/>
    <w:rsid w:val="00CE3462"/>
    <w:rsid w:val="00CE34F4"/>
    <w:rsid w:val="00CE373D"/>
    <w:rsid w:val="00CE3816"/>
    <w:rsid w:val="00CE4381"/>
    <w:rsid w:val="00CE72CC"/>
    <w:rsid w:val="00CF0562"/>
    <w:rsid w:val="00CF17D2"/>
    <w:rsid w:val="00CF1B9A"/>
    <w:rsid w:val="00CF2221"/>
    <w:rsid w:val="00CF22B3"/>
    <w:rsid w:val="00CF3AE6"/>
    <w:rsid w:val="00CF45C6"/>
    <w:rsid w:val="00CF6880"/>
    <w:rsid w:val="00D03017"/>
    <w:rsid w:val="00D0314D"/>
    <w:rsid w:val="00D036AE"/>
    <w:rsid w:val="00D03AD7"/>
    <w:rsid w:val="00D043A7"/>
    <w:rsid w:val="00D057B5"/>
    <w:rsid w:val="00D07402"/>
    <w:rsid w:val="00D07D31"/>
    <w:rsid w:val="00D1080F"/>
    <w:rsid w:val="00D121A1"/>
    <w:rsid w:val="00D126F0"/>
    <w:rsid w:val="00D15489"/>
    <w:rsid w:val="00D15C2B"/>
    <w:rsid w:val="00D15D57"/>
    <w:rsid w:val="00D1713B"/>
    <w:rsid w:val="00D17AE2"/>
    <w:rsid w:val="00D2042B"/>
    <w:rsid w:val="00D20583"/>
    <w:rsid w:val="00D205FF"/>
    <w:rsid w:val="00D21A2C"/>
    <w:rsid w:val="00D2279D"/>
    <w:rsid w:val="00D22B40"/>
    <w:rsid w:val="00D22BA9"/>
    <w:rsid w:val="00D235D6"/>
    <w:rsid w:val="00D23618"/>
    <w:rsid w:val="00D24638"/>
    <w:rsid w:val="00D253B3"/>
    <w:rsid w:val="00D26468"/>
    <w:rsid w:val="00D26BB5"/>
    <w:rsid w:val="00D27F03"/>
    <w:rsid w:val="00D30C32"/>
    <w:rsid w:val="00D31CA4"/>
    <w:rsid w:val="00D32097"/>
    <w:rsid w:val="00D32C62"/>
    <w:rsid w:val="00D32CB4"/>
    <w:rsid w:val="00D32D71"/>
    <w:rsid w:val="00D34790"/>
    <w:rsid w:val="00D35714"/>
    <w:rsid w:val="00D35E98"/>
    <w:rsid w:val="00D3620C"/>
    <w:rsid w:val="00D3729B"/>
    <w:rsid w:val="00D407D8"/>
    <w:rsid w:val="00D40B0B"/>
    <w:rsid w:val="00D435BE"/>
    <w:rsid w:val="00D447D7"/>
    <w:rsid w:val="00D45D45"/>
    <w:rsid w:val="00D4699A"/>
    <w:rsid w:val="00D46BFE"/>
    <w:rsid w:val="00D4768F"/>
    <w:rsid w:val="00D50863"/>
    <w:rsid w:val="00D50C55"/>
    <w:rsid w:val="00D518CA"/>
    <w:rsid w:val="00D51A91"/>
    <w:rsid w:val="00D52DC7"/>
    <w:rsid w:val="00D53C43"/>
    <w:rsid w:val="00D55275"/>
    <w:rsid w:val="00D5590F"/>
    <w:rsid w:val="00D559CF"/>
    <w:rsid w:val="00D56465"/>
    <w:rsid w:val="00D56A5F"/>
    <w:rsid w:val="00D57C2C"/>
    <w:rsid w:val="00D60A8B"/>
    <w:rsid w:val="00D61A14"/>
    <w:rsid w:val="00D624A2"/>
    <w:rsid w:val="00D6288F"/>
    <w:rsid w:val="00D63767"/>
    <w:rsid w:val="00D63E33"/>
    <w:rsid w:val="00D63F57"/>
    <w:rsid w:val="00D64441"/>
    <w:rsid w:val="00D70638"/>
    <w:rsid w:val="00D712D9"/>
    <w:rsid w:val="00D71380"/>
    <w:rsid w:val="00D74CA1"/>
    <w:rsid w:val="00D74E12"/>
    <w:rsid w:val="00D777A7"/>
    <w:rsid w:val="00D82E2D"/>
    <w:rsid w:val="00D84B91"/>
    <w:rsid w:val="00D86AC1"/>
    <w:rsid w:val="00D86B28"/>
    <w:rsid w:val="00D87F0D"/>
    <w:rsid w:val="00D903D1"/>
    <w:rsid w:val="00D92185"/>
    <w:rsid w:val="00D92685"/>
    <w:rsid w:val="00D936ED"/>
    <w:rsid w:val="00D93B6C"/>
    <w:rsid w:val="00D943D2"/>
    <w:rsid w:val="00D955FB"/>
    <w:rsid w:val="00D95D58"/>
    <w:rsid w:val="00D973DF"/>
    <w:rsid w:val="00D97D81"/>
    <w:rsid w:val="00DA42FF"/>
    <w:rsid w:val="00DA4FF3"/>
    <w:rsid w:val="00DA5642"/>
    <w:rsid w:val="00DA5647"/>
    <w:rsid w:val="00DA6EB5"/>
    <w:rsid w:val="00DA7DF1"/>
    <w:rsid w:val="00DB13B8"/>
    <w:rsid w:val="00DB2423"/>
    <w:rsid w:val="00DB2A44"/>
    <w:rsid w:val="00DB4026"/>
    <w:rsid w:val="00DB4F7D"/>
    <w:rsid w:val="00DB5BC6"/>
    <w:rsid w:val="00DB66D3"/>
    <w:rsid w:val="00DB6C6A"/>
    <w:rsid w:val="00DC1553"/>
    <w:rsid w:val="00DC48EE"/>
    <w:rsid w:val="00DC550C"/>
    <w:rsid w:val="00DC71AE"/>
    <w:rsid w:val="00DD1F44"/>
    <w:rsid w:val="00DD3313"/>
    <w:rsid w:val="00DD3678"/>
    <w:rsid w:val="00DD4264"/>
    <w:rsid w:val="00DD43B0"/>
    <w:rsid w:val="00DD501E"/>
    <w:rsid w:val="00DD5520"/>
    <w:rsid w:val="00DD5952"/>
    <w:rsid w:val="00DD5A7C"/>
    <w:rsid w:val="00DD6D9A"/>
    <w:rsid w:val="00DD7378"/>
    <w:rsid w:val="00DD7603"/>
    <w:rsid w:val="00DD7B43"/>
    <w:rsid w:val="00DE19A1"/>
    <w:rsid w:val="00DE2443"/>
    <w:rsid w:val="00DE245E"/>
    <w:rsid w:val="00DE27BC"/>
    <w:rsid w:val="00DE3F9F"/>
    <w:rsid w:val="00DE44A3"/>
    <w:rsid w:val="00DE47AC"/>
    <w:rsid w:val="00DE5650"/>
    <w:rsid w:val="00DE5DB6"/>
    <w:rsid w:val="00DE607F"/>
    <w:rsid w:val="00DE6127"/>
    <w:rsid w:val="00DE6DA6"/>
    <w:rsid w:val="00DE7B3B"/>
    <w:rsid w:val="00DF0630"/>
    <w:rsid w:val="00DF0C5E"/>
    <w:rsid w:val="00DF116C"/>
    <w:rsid w:val="00DF2ACA"/>
    <w:rsid w:val="00DF7987"/>
    <w:rsid w:val="00E00003"/>
    <w:rsid w:val="00E005F2"/>
    <w:rsid w:val="00E043CB"/>
    <w:rsid w:val="00E045D3"/>
    <w:rsid w:val="00E07001"/>
    <w:rsid w:val="00E1053D"/>
    <w:rsid w:val="00E11F34"/>
    <w:rsid w:val="00E1295E"/>
    <w:rsid w:val="00E1349E"/>
    <w:rsid w:val="00E14386"/>
    <w:rsid w:val="00E1451D"/>
    <w:rsid w:val="00E1472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E62"/>
    <w:rsid w:val="00E31BF2"/>
    <w:rsid w:val="00E331C0"/>
    <w:rsid w:val="00E34134"/>
    <w:rsid w:val="00E34263"/>
    <w:rsid w:val="00E35947"/>
    <w:rsid w:val="00E36801"/>
    <w:rsid w:val="00E36CB2"/>
    <w:rsid w:val="00E37D66"/>
    <w:rsid w:val="00E40F04"/>
    <w:rsid w:val="00E4114E"/>
    <w:rsid w:val="00E41942"/>
    <w:rsid w:val="00E46AF8"/>
    <w:rsid w:val="00E513DF"/>
    <w:rsid w:val="00E5275C"/>
    <w:rsid w:val="00E53990"/>
    <w:rsid w:val="00E54DE3"/>
    <w:rsid w:val="00E558C9"/>
    <w:rsid w:val="00E56FB4"/>
    <w:rsid w:val="00E62B07"/>
    <w:rsid w:val="00E63B32"/>
    <w:rsid w:val="00E64E02"/>
    <w:rsid w:val="00E6616F"/>
    <w:rsid w:val="00E679A0"/>
    <w:rsid w:val="00E71464"/>
    <w:rsid w:val="00E71791"/>
    <w:rsid w:val="00E72D5A"/>
    <w:rsid w:val="00E735C3"/>
    <w:rsid w:val="00E74EB0"/>
    <w:rsid w:val="00E76059"/>
    <w:rsid w:val="00E76BA9"/>
    <w:rsid w:val="00E77298"/>
    <w:rsid w:val="00E8192B"/>
    <w:rsid w:val="00E8315F"/>
    <w:rsid w:val="00E852A2"/>
    <w:rsid w:val="00E87830"/>
    <w:rsid w:val="00E91158"/>
    <w:rsid w:val="00E91549"/>
    <w:rsid w:val="00E91B11"/>
    <w:rsid w:val="00E9271A"/>
    <w:rsid w:val="00E95697"/>
    <w:rsid w:val="00E95D22"/>
    <w:rsid w:val="00E96CEC"/>
    <w:rsid w:val="00EA10F9"/>
    <w:rsid w:val="00EA2158"/>
    <w:rsid w:val="00EA242B"/>
    <w:rsid w:val="00EA2B3C"/>
    <w:rsid w:val="00EA3C8E"/>
    <w:rsid w:val="00EB055C"/>
    <w:rsid w:val="00EB0DA4"/>
    <w:rsid w:val="00EB1FFF"/>
    <w:rsid w:val="00EB3575"/>
    <w:rsid w:val="00EB3CBD"/>
    <w:rsid w:val="00EB4152"/>
    <w:rsid w:val="00EB63D8"/>
    <w:rsid w:val="00EB6504"/>
    <w:rsid w:val="00EB683A"/>
    <w:rsid w:val="00EB78EC"/>
    <w:rsid w:val="00EC3077"/>
    <w:rsid w:val="00EC36EF"/>
    <w:rsid w:val="00EC3EDA"/>
    <w:rsid w:val="00EC4910"/>
    <w:rsid w:val="00EC5166"/>
    <w:rsid w:val="00EC5518"/>
    <w:rsid w:val="00EC6095"/>
    <w:rsid w:val="00EC71DC"/>
    <w:rsid w:val="00EC76DA"/>
    <w:rsid w:val="00ED1D8C"/>
    <w:rsid w:val="00ED2025"/>
    <w:rsid w:val="00ED38E4"/>
    <w:rsid w:val="00ED6687"/>
    <w:rsid w:val="00ED715D"/>
    <w:rsid w:val="00EE0333"/>
    <w:rsid w:val="00EE126B"/>
    <w:rsid w:val="00EE3363"/>
    <w:rsid w:val="00EE497F"/>
    <w:rsid w:val="00EE53EA"/>
    <w:rsid w:val="00EE551A"/>
    <w:rsid w:val="00EE6A31"/>
    <w:rsid w:val="00EE7973"/>
    <w:rsid w:val="00EF0AF6"/>
    <w:rsid w:val="00EF10C9"/>
    <w:rsid w:val="00EF15D8"/>
    <w:rsid w:val="00EF2136"/>
    <w:rsid w:val="00EF3564"/>
    <w:rsid w:val="00EF3A73"/>
    <w:rsid w:val="00EF3F7D"/>
    <w:rsid w:val="00EF66DD"/>
    <w:rsid w:val="00EF7571"/>
    <w:rsid w:val="00EF7BDC"/>
    <w:rsid w:val="00F0039F"/>
    <w:rsid w:val="00F0460D"/>
    <w:rsid w:val="00F0507B"/>
    <w:rsid w:val="00F06A51"/>
    <w:rsid w:val="00F079DF"/>
    <w:rsid w:val="00F117AC"/>
    <w:rsid w:val="00F120D3"/>
    <w:rsid w:val="00F124D1"/>
    <w:rsid w:val="00F12E77"/>
    <w:rsid w:val="00F13A97"/>
    <w:rsid w:val="00F13CAA"/>
    <w:rsid w:val="00F13CDD"/>
    <w:rsid w:val="00F151A0"/>
    <w:rsid w:val="00F168FE"/>
    <w:rsid w:val="00F214DB"/>
    <w:rsid w:val="00F22F38"/>
    <w:rsid w:val="00F2498D"/>
    <w:rsid w:val="00F24C14"/>
    <w:rsid w:val="00F2538D"/>
    <w:rsid w:val="00F259D8"/>
    <w:rsid w:val="00F26244"/>
    <w:rsid w:val="00F263DF"/>
    <w:rsid w:val="00F27554"/>
    <w:rsid w:val="00F277AA"/>
    <w:rsid w:val="00F30D17"/>
    <w:rsid w:val="00F31368"/>
    <w:rsid w:val="00F3142F"/>
    <w:rsid w:val="00F32EF1"/>
    <w:rsid w:val="00F33BD6"/>
    <w:rsid w:val="00F342CC"/>
    <w:rsid w:val="00F3510A"/>
    <w:rsid w:val="00F35167"/>
    <w:rsid w:val="00F3723C"/>
    <w:rsid w:val="00F40933"/>
    <w:rsid w:val="00F413F9"/>
    <w:rsid w:val="00F42E1E"/>
    <w:rsid w:val="00F43951"/>
    <w:rsid w:val="00F4457D"/>
    <w:rsid w:val="00F4545C"/>
    <w:rsid w:val="00F466B9"/>
    <w:rsid w:val="00F5024E"/>
    <w:rsid w:val="00F50FC0"/>
    <w:rsid w:val="00F52E57"/>
    <w:rsid w:val="00F54449"/>
    <w:rsid w:val="00F54C7F"/>
    <w:rsid w:val="00F558B4"/>
    <w:rsid w:val="00F55A37"/>
    <w:rsid w:val="00F56D88"/>
    <w:rsid w:val="00F578E4"/>
    <w:rsid w:val="00F60780"/>
    <w:rsid w:val="00F6079B"/>
    <w:rsid w:val="00F611EB"/>
    <w:rsid w:val="00F61201"/>
    <w:rsid w:val="00F61CEA"/>
    <w:rsid w:val="00F6269C"/>
    <w:rsid w:val="00F64416"/>
    <w:rsid w:val="00F6501E"/>
    <w:rsid w:val="00F66893"/>
    <w:rsid w:val="00F67841"/>
    <w:rsid w:val="00F70090"/>
    <w:rsid w:val="00F7029C"/>
    <w:rsid w:val="00F70D6A"/>
    <w:rsid w:val="00F72335"/>
    <w:rsid w:val="00F7234D"/>
    <w:rsid w:val="00F72664"/>
    <w:rsid w:val="00F726B8"/>
    <w:rsid w:val="00F731F0"/>
    <w:rsid w:val="00F77386"/>
    <w:rsid w:val="00F81CDA"/>
    <w:rsid w:val="00F82282"/>
    <w:rsid w:val="00F833C4"/>
    <w:rsid w:val="00F84BC1"/>
    <w:rsid w:val="00F9288C"/>
    <w:rsid w:val="00F94195"/>
    <w:rsid w:val="00F9498B"/>
    <w:rsid w:val="00F952D8"/>
    <w:rsid w:val="00F9571E"/>
    <w:rsid w:val="00F95A21"/>
    <w:rsid w:val="00F95E55"/>
    <w:rsid w:val="00F9650E"/>
    <w:rsid w:val="00FA1742"/>
    <w:rsid w:val="00FA239A"/>
    <w:rsid w:val="00FA27C0"/>
    <w:rsid w:val="00FA4143"/>
    <w:rsid w:val="00FA433E"/>
    <w:rsid w:val="00FA569F"/>
    <w:rsid w:val="00FA62B9"/>
    <w:rsid w:val="00FA671F"/>
    <w:rsid w:val="00FA69D3"/>
    <w:rsid w:val="00FA7C74"/>
    <w:rsid w:val="00FB022C"/>
    <w:rsid w:val="00FB123C"/>
    <w:rsid w:val="00FB124C"/>
    <w:rsid w:val="00FB3892"/>
    <w:rsid w:val="00FB3C1D"/>
    <w:rsid w:val="00FB4039"/>
    <w:rsid w:val="00FB4C7C"/>
    <w:rsid w:val="00FB7333"/>
    <w:rsid w:val="00FB77DF"/>
    <w:rsid w:val="00FC118E"/>
    <w:rsid w:val="00FC1207"/>
    <w:rsid w:val="00FC200D"/>
    <w:rsid w:val="00FC2706"/>
    <w:rsid w:val="00FC42B0"/>
    <w:rsid w:val="00FC4BB5"/>
    <w:rsid w:val="00FC7864"/>
    <w:rsid w:val="00FC7F47"/>
    <w:rsid w:val="00FD06BC"/>
    <w:rsid w:val="00FD0EA0"/>
    <w:rsid w:val="00FD21BC"/>
    <w:rsid w:val="00FD304B"/>
    <w:rsid w:val="00FD5D1B"/>
    <w:rsid w:val="00FD5D55"/>
    <w:rsid w:val="00FD5F29"/>
    <w:rsid w:val="00FD61E1"/>
    <w:rsid w:val="00FD7F73"/>
    <w:rsid w:val="00FE013D"/>
    <w:rsid w:val="00FE23B8"/>
    <w:rsid w:val="00FE2552"/>
    <w:rsid w:val="00FE3F6C"/>
    <w:rsid w:val="00FE4EA6"/>
    <w:rsid w:val="00FE5C63"/>
    <w:rsid w:val="00FE6202"/>
    <w:rsid w:val="00FE6898"/>
    <w:rsid w:val="00FF164C"/>
    <w:rsid w:val="00FF2811"/>
    <w:rsid w:val="00FF3A05"/>
    <w:rsid w:val="00FF4C4F"/>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DF8EE2E3-5296-4347-AD86-33420B012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styleId="Mention">
    <w:name w:val="Mention"/>
    <w:uiPriority w:val="99"/>
    <w:semiHidden/>
    <w:unhideWhenUsed/>
    <w:rsid w:val="00020FD3"/>
    <w:rPr>
      <w:color w:val="2B579A"/>
      <w:shd w:val="clear" w:color="auto" w:fill="E6E6E6"/>
    </w:rPr>
  </w:style>
  <w:style w:type="character"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Normal"/>
    <w:next w:val="Doc-text2"/>
    <w:uiPriority w:val="99"/>
    <w:rsid w:val="000972AC"/>
    <w:pPr>
      <w:numPr>
        <w:numId w:val="18"/>
      </w:numPr>
      <w:spacing w:before="60" w:after="0" w:line="240" w:lineRule="auto"/>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3.xml><?xml version="1.0" encoding="utf-8"?>
<ds:datastoreItem xmlns:ds="http://schemas.openxmlformats.org/officeDocument/2006/customXml" ds:itemID="{823CAC6B-93BC-4C1C-BCC1-6C5FB5C8D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5.xml><?xml version="1.0" encoding="utf-8"?>
<ds:datastoreItem xmlns:ds="http://schemas.openxmlformats.org/officeDocument/2006/customXml" ds:itemID="{F3B30B96-DC46-45D3-B3F0-F3E5DA4E7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946</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3</cp:revision>
  <cp:lastPrinted>2017-06-13T06:21:00Z</cp:lastPrinted>
  <dcterms:created xsi:type="dcterms:W3CDTF">2021-05-10T18:58:00Z</dcterms:created>
  <dcterms:modified xsi:type="dcterms:W3CDTF">2021-05-10T18:59:00Z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